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8E" w:rsidRPr="00305A72" w:rsidRDefault="00CD1E8E" w:rsidP="00CD1E8E">
      <w:pPr>
        <w:pStyle w:val="Heading2"/>
        <w:rPr>
          <w:color w:val="000000" w:themeColor="text1"/>
          <w:lang w:val="en-US"/>
        </w:rPr>
      </w:pPr>
      <w:bookmarkStart w:id="0" w:name="_GoBack"/>
      <w:bookmarkEnd w:id="0"/>
    </w:p>
    <w:p w:rsidR="00285974" w:rsidRPr="00305A72" w:rsidRDefault="00285974" w:rsidP="00285974">
      <w:pPr>
        <w:rPr>
          <w:color w:val="000000" w:themeColor="text1"/>
          <w:lang w:val="en-US"/>
        </w:rPr>
      </w:pPr>
    </w:p>
    <w:p w:rsidR="00285974" w:rsidRPr="00305A72" w:rsidRDefault="00285974" w:rsidP="00285974">
      <w:pPr>
        <w:rPr>
          <w:color w:val="000000" w:themeColor="text1"/>
          <w:lang w:val="en-US"/>
        </w:rPr>
      </w:pPr>
    </w:p>
    <w:p w:rsidR="00285974" w:rsidRPr="00305A72" w:rsidRDefault="00285974" w:rsidP="00285974">
      <w:pPr>
        <w:rPr>
          <w:color w:val="000000" w:themeColor="text1"/>
          <w:lang w:val="en-US"/>
        </w:rPr>
      </w:pPr>
    </w:p>
    <w:p w:rsidR="004276AD" w:rsidRPr="00305A72" w:rsidRDefault="00305A72" w:rsidP="004276AD">
      <w:pPr>
        <w:spacing w:before="60"/>
        <w:jc w:val="center"/>
        <w:rPr>
          <w:b/>
          <w:i/>
          <w:color w:val="000000" w:themeColor="text1"/>
          <w:sz w:val="40"/>
          <w:szCs w:val="40"/>
          <w:lang w:val="en-US"/>
        </w:rPr>
      </w:pPr>
      <w:r w:rsidRPr="00305A72">
        <w:rPr>
          <w:b/>
          <w:i/>
          <w:color w:val="000000" w:themeColor="text1"/>
          <w:sz w:val="40"/>
          <w:szCs w:val="40"/>
          <w:lang w:val="en-US"/>
        </w:rPr>
        <w:t>Naziv aktivnosti</w:t>
      </w:r>
    </w:p>
    <w:p w:rsidR="00CD1E8E" w:rsidRPr="00305A72" w:rsidRDefault="00CD1E8E" w:rsidP="00CD1E8E">
      <w:pPr>
        <w:pStyle w:val="Heading2"/>
        <w:rPr>
          <w:b/>
          <w:color w:val="000000" w:themeColor="text1"/>
          <w:sz w:val="36"/>
          <w:szCs w:val="36"/>
          <w:lang w:val="en-US"/>
        </w:rPr>
      </w:pPr>
    </w:p>
    <w:p w:rsidR="00CD1E8E" w:rsidRPr="00305A72" w:rsidRDefault="00CD1E8E" w:rsidP="00CD1E8E">
      <w:pPr>
        <w:pStyle w:val="Heading2"/>
        <w:rPr>
          <w:b/>
          <w:color w:val="000000" w:themeColor="text1"/>
          <w:sz w:val="36"/>
          <w:szCs w:val="36"/>
          <w:lang w:val="en-US"/>
        </w:rPr>
      </w:pPr>
    </w:p>
    <w:p w:rsidR="00CD1E8E" w:rsidRPr="00305A72" w:rsidRDefault="00CD1E8E" w:rsidP="00CD1E8E">
      <w:pPr>
        <w:pStyle w:val="Heading2"/>
        <w:rPr>
          <w:color w:val="000000" w:themeColor="text1"/>
          <w:lang w:val="en-US"/>
        </w:rPr>
      </w:pPr>
    </w:p>
    <w:p w:rsidR="00CD1E8E" w:rsidRPr="00305A72" w:rsidRDefault="00CD1E8E" w:rsidP="00CD1E8E">
      <w:pPr>
        <w:pStyle w:val="Heading"/>
        <w:rPr>
          <w:color w:val="000000" w:themeColor="text1"/>
          <w:sz w:val="32"/>
          <w:szCs w:val="32"/>
        </w:rPr>
      </w:pPr>
    </w:p>
    <w:p w:rsidR="00EC0845" w:rsidRPr="00305A72" w:rsidRDefault="00EC0845" w:rsidP="00CD1E8E">
      <w:pPr>
        <w:pStyle w:val="Heading"/>
        <w:rPr>
          <w:color w:val="000000" w:themeColor="text1"/>
          <w:sz w:val="32"/>
          <w:szCs w:val="32"/>
        </w:rPr>
      </w:pPr>
      <w:r w:rsidRPr="00305A72">
        <w:rPr>
          <w:color w:val="000000" w:themeColor="text1"/>
          <w:sz w:val="32"/>
          <w:szCs w:val="32"/>
        </w:rPr>
        <w:t xml:space="preserve">Sažeta tabela okolinskog upravljanja </w:t>
      </w:r>
    </w:p>
    <w:p w:rsidR="00CD1E8E" w:rsidRPr="00305A72" w:rsidRDefault="00EC0845" w:rsidP="00CD1E8E">
      <w:pPr>
        <w:pStyle w:val="Heading"/>
        <w:rPr>
          <w:color w:val="000000" w:themeColor="text1"/>
          <w:sz w:val="32"/>
          <w:szCs w:val="32"/>
        </w:rPr>
      </w:pPr>
      <w:r w:rsidRPr="00305A72">
        <w:rPr>
          <w:color w:val="000000" w:themeColor="text1"/>
          <w:sz w:val="32"/>
          <w:szCs w:val="32"/>
        </w:rPr>
        <w:t>“EMP CHECKLIST“</w:t>
      </w:r>
    </w:p>
    <w:p w:rsidR="00CD1E8E" w:rsidRPr="00305A72" w:rsidRDefault="00CD1E8E" w:rsidP="00CD1E8E">
      <w:pPr>
        <w:pStyle w:val="Heading"/>
        <w:rPr>
          <w:color w:val="000000" w:themeColor="text1"/>
        </w:rPr>
      </w:pPr>
    </w:p>
    <w:p w:rsidR="004276AD" w:rsidRPr="00305A72" w:rsidRDefault="004276AD" w:rsidP="00CD1E8E">
      <w:pPr>
        <w:pStyle w:val="Heading"/>
        <w:rPr>
          <w:color w:val="000000" w:themeColor="text1"/>
        </w:rPr>
      </w:pPr>
    </w:p>
    <w:p w:rsidR="004276AD" w:rsidRPr="00305A72" w:rsidRDefault="004276AD" w:rsidP="00CD1E8E">
      <w:pPr>
        <w:pStyle w:val="Heading"/>
        <w:rPr>
          <w:color w:val="000000" w:themeColor="text1"/>
        </w:rPr>
      </w:pPr>
    </w:p>
    <w:p w:rsidR="004276AD" w:rsidRPr="00305A72" w:rsidRDefault="004276AD" w:rsidP="00CD1E8E">
      <w:pPr>
        <w:pStyle w:val="Heading"/>
        <w:rPr>
          <w:color w:val="000000" w:themeColor="text1"/>
        </w:rPr>
      </w:pPr>
    </w:p>
    <w:p w:rsidR="004276AD" w:rsidRPr="00305A72" w:rsidRDefault="004276AD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285974" w:rsidRPr="00305A72" w:rsidRDefault="00305A72" w:rsidP="00CD1E8E">
      <w:pPr>
        <w:pStyle w:val="Heading"/>
        <w:rPr>
          <w:i/>
          <w:color w:val="000000" w:themeColor="text1"/>
        </w:rPr>
      </w:pPr>
      <w:r w:rsidRPr="00305A72">
        <w:rPr>
          <w:i/>
          <w:color w:val="000000" w:themeColor="text1"/>
        </w:rPr>
        <w:t>datum</w:t>
      </w:r>
    </w:p>
    <w:p w:rsidR="00305A72" w:rsidRPr="00305A72" w:rsidRDefault="00305A72" w:rsidP="00CD1E8E">
      <w:pPr>
        <w:pStyle w:val="Heading"/>
        <w:rPr>
          <w:i/>
          <w:color w:val="000000" w:themeColor="text1"/>
        </w:rPr>
      </w:pPr>
    </w:p>
    <w:p w:rsidR="00305A72" w:rsidRPr="00305A72" w:rsidRDefault="00305A72" w:rsidP="00CD1E8E">
      <w:pPr>
        <w:pStyle w:val="Heading"/>
        <w:rPr>
          <w:i/>
          <w:color w:val="000000" w:themeColor="text1"/>
        </w:rPr>
      </w:pPr>
    </w:p>
    <w:p w:rsidR="00FF60F8" w:rsidRPr="00305A72" w:rsidRDefault="00FF60F8" w:rsidP="00CD1E8E">
      <w:pPr>
        <w:pStyle w:val="Heading"/>
        <w:rPr>
          <w:color w:val="000000" w:themeColor="text1"/>
        </w:rPr>
      </w:pPr>
    </w:p>
    <w:p w:rsidR="00FF60F8" w:rsidRPr="00305A72" w:rsidRDefault="00FF60F8" w:rsidP="00CD1E8E">
      <w:pPr>
        <w:pStyle w:val="Heading"/>
        <w:rPr>
          <w:color w:val="000000" w:themeColor="text1"/>
        </w:rPr>
      </w:pPr>
    </w:p>
    <w:p w:rsidR="00FF60F8" w:rsidRPr="00305A72" w:rsidRDefault="00FF60F8" w:rsidP="00CD1E8E">
      <w:pPr>
        <w:pStyle w:val="Heading"/>
        <w:rPr>
          <w:color w:val="000000" w:themeColor="text1"/>
        </w:rPr>
      </w:pPr>
    </w:p>
    <w:p w:rsidR="00FF60F8" w:rsidRPr="00305A72" w:rsidRDefault="00FF60F8" w:rsidP="00CD1E8E">
      <w:pPr>
        <w:pStyle w:val="Heading"/>
        <w:rPr>
          <w:color w:val="000000" w:themeColor="text1"/>
        </w:rPr>
      </w:pPr>
    </w:p>
    <w:p w:rsidR="00FF60F8" w:rsidRPr="00305A72" w:rsidRDefault="00FF60F8" w:rsidP="00CD1E8E">
      <w:pPr>
        <w:pStyle w:val="Heading"/>
        <w:rPr>
          <w:color w:val="000000" w:themeColor="text1"/>
        </w:rPr>
      </w:pPr>
    </w:p>
    <w:p w:rsidR="005F71E6" w:rsidRPr="00305A72" w:rsidRDefault="005F71E6" w:rsidP="00CD1E8E">
      <w:pPr>
        <w:pStyle w:val="Heading"/>
        <w:rPr>
          <w:color w:val="000000" w:themeColor="text1"/>
        </w:rPr>
      </w:pPr>
    </w:p>
    <w:p w:rsidR="00285974" w:rsidRPr="00305A72" w:rsidRDefault="00285974" w:rsidP="00CD1E8E">
      <w:pPr>
        <w:pStyle w:val="Heading"/>
        <w:rPr>
          <w:color w:val="000000" w:themeColor="text1"/>
        </w:rPr>
      </w:pPr>
    </w:p>
    <w:p w:rsidR="00CD1E8E" w:rsidRPr="00305A72" w:rsidRDefault="00EC0845" w:rsidP="00CD1E8E">
      <w:pPr>
        <w:pStyle w:val="Heading"/>
        <w:rPr>
          <w:color w:val="000000" w:themeColor="text1"/>
          <w:u w:val="single"/>
        </w:rPr>
      </w:pPr>
      <w:r w:rsidRPr="00305A72">
        <w:rPr>
          <w:color w:val="000000" w:themeColor="text1"/>
          <w:u w:val="single"/>
        </w:rPr>
        <w:t>sadržaj</w:t>
      </w:r>
    </w:p>
    <w:p w:rsidR="005F71E6" w:rsidRPr="00305A72" w:rsidRDefault="005F71E6" w:rsidP="00CD1E8E">
      <w:pPr>
        <w:pStyle w:val="Heading"/>
        <w:rPr>
          <w:color w:val="000000" w:themeColor="text1"/>
        </w:rPr>
      </w:pPr>
    </w:p>
    <w:p w:rsidR="00CD1E8E" w:rsidRPr="00305A72" w:rsidRDefault="00CD1E8E" w:rsidP="00CD1E8E">
      <w:pPr>
        <w:jc w:val="center"/>
        <w:rPr>
          <w:b/>
          <w:bCs/>
          <w:color w:val="000000" w:themeColor="text1"/>
          <w:lang w:val="en-US"/>
        </w:rPr>
      </w:pPr>
    </w:p>
    <w:p w:rsidR="005F71E6" w:rsidRPr="00305A72" w:rsidRDefault="005F71E6" w:rsidP="00CD1E8E">
      <w:pPr>
        <w:jc w:val="center"/>
        <w:rPr>
          <w:b/>
          <w:bCs/>
          <w:color w:val="000000" w:themeColor="text1"/>
          <w:lang w:val="en-US"/>
        </w:rPr>
      </w:pPr>
    </w:p>
    <w:p w:rsidR="00CD1E8E" w:rsidRPr="00305A72" w:rsidRDefault="00CD1E8E" w:rsidP="00CD1E8E">
      <w:pPr>
        <w:jc w:val="center"/>
        <w:rPr>
          <w:b/>
          <w:bCs/>
          <w:color w:val="000000" w:themeColor="text1"/>
          <w:lang w:val="en-US"/>
        </w:rPr>
      </w:pPr>
    </w:p>
    <w:p w:rsidR="005F71E6" w:rsidRPr="00305A72" w:rsidRDefault="00EC0845" w:rsidP="00EC0845">
      <w:pPr>
        <w:numPr>
          <w:ilvl w:val="0"/>
          <w:numId w:val="2"/>
        </w:numPr>
        <w:rPr>
          <w:b/>
          <w:bCs/>
          <w:color w:val="000000" w:themeColor="text1"/>
          <w:lang w:val="en-US"/>
        </w:rPr>
      </w:pPr>
      <w:r w:rsidRPr="00305A72">
        <w:rPr>
          <w:b/>
          <w:bCs/>
          <w:color w:val="000000" w:themeColor="text1"/>
          <w:lang w:val="en-US"/>
        </w:rPr>
        <w:t xml:space="preserve">OPŠTI PODACI O AKTIVNOSTI I LOKACIJI </w:t>
      </w:r>
    </w:p>
    <w:p w:rsidR="00CD1E8E" w:rsidRPr="00305A72" w:rsidRDefault="00CD1E8E" w:rsidP="00CD1E8E">
      <w:pPr>
        <w:ind w:left="360"/>
        <w:rPr>
          <w:b/>
          <w:bCs/>
          <w:color w:val="000000" w:themeColor="text1"/>
          <w:lang w:val="en-US"/>
        </w:rPr>
      </w:pPr>
    </w:p>
    <w:p w:rsidR="00CD1E8E" w:rsidRPr="00305A72" w:rsidRDefault="00EC0845" w:rsidP="00CD1E8E">
      <w:pPr>
        <w:numPr>
          <w:ilvl w:val="0"/>
          <w:numId w:val="2"/>
        </w:numPr>
        <w:rPr>
          <w:b/>
          <w:bCs/>
          <w:color w:val="000000" w:themeColor="text1"/>
          <w:lang w:val="en-US"/>
        </w:rPr>
      </w:pPr>
      <w:r w:rsidRPr="00305A72">
        <w:rPr>
          <w:b/>
          <w:bCs/>
          <w:color w:val="000000" w:themeColor="text1"/>
          <w:lang w:val="en-US"/>
        </w:rPr>
        <w:t xml:space="preserve">PODACI O MJERAMA ZAŠTITE </w:t>
      </w:r>
    </w:p>
    <w:p w:rsidR="00EC0845" w:rsidRPr="00305A72" w:rsidRDefault="00EC0845" w:rsidP="00EC0845">
      <w:pPr>
        <w:pStyle w:val="ListParagraph"/>
        <w:rPr>
          <w:b/>
          <w:bCs/>
          <w:color w:val="000000" w:themeColor="text1"/>
          <w:lang w:val="en-US"/>
        </w:rPr>
      </w:pPr>
    </w:p>
    <w:p w:rsidR="005F71E6" w:rsidRPr="00305A72" w:rsidRDefault="00EC0845" w:rsidP="00EC0845">
      <w:pPr>
        <w:numPr>
          <w:ilvl w:val="0"/>
          <w:numId w:val="2"/>
        </w:numPr>
        <w:rPr>
          <w:b/>
          <w:bCs/>
          <w:color w:val="000000" w:themeColor="text1"/>
          <w:lang w:val="en-US"/>
        </w:rPr>
      </w:pPr>
      <w:r w:rsidRPr="00305A72">
        <w:rPr>
          <w:b/>
          <w:bCs/>
          <w:color w:val="000000" w:themeColor="text1"/>
          <w:lang w:val="en-US"/>
        </w:rPr>
        <w:t>MJERE UBLAŽAVANJA UTICAJA</w:t>
      </w:r>
    </w:p>
    <w:p w:rsidR="00CD1E8E" w:rsidRPr="00305A72" w:rsidRDefault="00CD1E8E" w:rsidP="00CD1E8E">
      <w:pPr>
        <w:rPr>
          <w:b/>
          <w:bCs/>
          <w:color w:val="000000" w:themeColor="text1"/>
          <w:lang w:val="en-US"/>
        </w:rPr>
      </w:pPr>
    </w:p>
    <w:p w:rsidR="00CD1E8E" w:rsidRPr="00305A72" w:rsidRDefault="00AF3030" w:rsidP="00CD1E8E">
      <w:pPr>
        <w:numPr>
          <w:ilvl w:val="0"/>
          <w:numId w:val="2"/>
        </w:numPr>
        <w:rPr>
          <w:b/>
          <w:bCs/>
          <w:color w:val="000000" w:themeColor="text1"/>
          <w:lang w:val="en-US"/>
        </w:rPr>
      </w:pPr>
      <w:r w:rsidRPr="00305A72">
        <w:rPr>
          <w:b/>
          <w:bCs/>
          <w:color w:val="000000" w:themeColor="text1"/>
          <w:lang w:val="en-US"/>
        </w:rPr>
        <w:t>MONITORING PLAN</w:t>
      </w:r>
      <w:r w:rsidR="00EC0845" w:rsidRPr="00305A72">
        <w:rPr>
          <w:b/>
          <w:bCs/>
          <w:color w:val="000000" w:themeColor="text1"/>
          <w:lang w:val="en-US"/>
        </w:rPr>
        <w:t xml:space="preserve"> (PLAN NADZORA)</w:t>
      </w: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285974" w:rsidRPr="00305A72" w:rsidRDefault="00285974" w:rsidP="00466A23">
      <w:pPr>
        <w:rPr>
          <w:b/>
          <w:bCs/>
          <w:color w:val="000000" w:themeColor="text1"/>
          <w:lang w:val="en-US"/>
        </w:rPr>
      </w:pPr>
    </w:p>
    <w:p w:rsidR="00FF60F8" w:rsidRPr="00305A72" w:rsidRDefault="00FF60F8" w:rsidP="00466A23">
      <w:pPr>
        <w:rPr>
          <w:b/>
          <w:bCs/>
          <w:color w:val="000000" w:themeColor="text1"/>
          <w:lang w:val="en-US"/>
        </w:rPr>
      </w:pPr>
    </w:p>
    <w:p w:rsidR="00FF60F8" w:rsidRPr="00305A72" w:rsidRDefault="00FF60F8" w:rsidP="00466A23">
      <w:pPr>
        <w:rPr>
          <w:b/>
          <w:bCs/>
          <w:color w:val="000000" w:themeColor="text1"/>
          <w:lang w:val="en-US"/>
        </w:rPr>
      </w:pPr>
    </w:p>
    <w:p w:rsidR="00FF60F8" w:rsidRPr="00305A72" w:rsidRDefault="00FF60F8" w:rsidP="00466A23">
      <w:pPr>
        <w:rPr>
          <w:b/>
          <w:bCs/>
          <w:color w:val="000000" w:themeColor="text1"/>
          <w:lang w:val="en-US"/>
        </w:rPr>
      </w:pPr>
    </w:p>
    <w:p w:rsidR="00EC0845" w:rsidRPr="00305A72" w:rsidRDefault="00EC0845" w:rsidP="00466A23">
      <w:pPr>
        <w:rPr>
          <w:b/>
          <w:bCs/>
          <w:color w:val="000000" w:themeColor="text1"/>
          <w:lang w:val="en-US"/>
        </w:rPr>
      </w:pPr>
    </w:p>
    <w:p w:rsidR="00EC0845" w:rsidRPr="00305A72" w:rsidRDefault="00EC0845" w:rsidP="00466A23">
      <w:pPr>
        <w:rPr>
          <w:b/>
          <w:bCs/>
          <w:color w:val="000000" w:themeColor="text1"/>
          <w:lang w:val="en-US"/>
        </w:rPr>
      </w:pPr>
    </w:p>
    <w:p w:rsidR="00EC0845" w:rsidRPr="00305A72" w:rsidRDefault="00EC0845" w:rsidP="00466A23">
      <w:pPr>
        <w:rPr>
          <w:b/>
          <w:bCs/>
          <w:color w:val="000000" w:themeColor="text1"/>
          <w:lang w:val="en-US"/>
        </w:rPr>
      </w:pPr>
    </w:p>
    <w:p w:rsidR="00466A23" w:rsidRPr="00305A72" w:rsidRDefault="00466A23" w:rsidP="00466A23">
      <w:pPr>
        <w:rPr>
          <w:b/>
          <w:bCs/>
          <w:color w:val="000000" w:themeColor="text1"/>
          <w:lang w:val="en-US"/>
        </w:rPr>
      </w:pPr>
    </w:p>
    <w:p w:rsidR="00EC0845" w:rsidRPr="00305A72" w:rsidRDefault="00AF3030" w:rsidP="00EC0845">
      <w:pPr>
        <w:numPr>
          <w:ilvl w:val="0"/>
          <w:numId w:val="31"/>
        </w:numPr>
        <w:rPr>
          <w:b/>
          <w:bCs/>
          <w:color w:val="000000" w:themeColor="text1"/>
          <w:lang w:val="en-US"/>
        </w:rPr>
      </w:pPr>
      <w:r w:rsidRPr="00305A72">
        <w:rPr>
          <w:b/>
          <w:bCs/>
          <w:color w:val="000000" w:themeColor="text1"/>
          <w:lang w:val="en-US"/>
        </w:rPr>
        <w:t xml:space="preserve"> </w:t>
      </w:r>
      <w:r w:rsidR="00EC0845" w:rsidRPr="00305A72">
        <w:rPr>
          <w:b/>
          <w:bCs/>
          <w:color w:val="000000" w:themeColor="text1"/>
          <w:lang w:val="en-US"/>
        </w:rPr>
        <w:t xml:space="preserve">OPŠTI PODACI O AKTIVNOSTI I LOKACIJI 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665"/>
        <w:gridCol w:w="1861"/>
        <w:gridCol w:w="1565"/>
        <w:gridCol w:w="2028"/>
      </w:tblGrid>
      <w:tr w:rsidR="00305A72" w:rsidRPr="00305A72" w:rsidTr="008357B4">
        <w:trPr>
          <w:trHeight w:val="332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pct5" w:color="auto" w:fill="CCFFFF"/>
          </w:tcPr>
          <w:p w:rsidR="00987F96" w:rsidRPr="00305A72" w:rsidRDefault="00EC0845" w:rsidP="008F42F3">
            <w:pPr>
              <w:spacing w:before="6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rFonts w:ascii="Times New Roman Bold" w:hAnsi="Times New Roman Bold"/>
                <w:b/>
                <w:caps/>
                <w:color w:val="000000" w:themeColor="text1"/>
                <w:sz w:val="20"/>
                <w:szCs w:val="20"/>
                <w:lang w:val="en-US"/>
              </w:rPr>
              <w:t>INSTITUCIONALNI I ADMINISTRATIVNI PODACI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305A72" w:rsidRPr="00305A72" w:rsidTr="008357B4">
        <w:trPr>
          <w:trHeight w:val="278"/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Zemlja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305A72" w:rsidP="00C15417">
            <w:pPr>
              <w:spacing w:before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Republika Hrvatska / Bosna i Hercegovina</w:t>
            </w:r>
          </w:p>
        </w:tc>
      </w:tr>
      <w:tr w:rsidR="00305A72" w:rsidRPr="00305A72" w:rsidTr="008357B4">
        <w:trPr>
          <w:trHeight w:val="278"/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tabs>
                <w:tab w:val="center" w:pos="4320"/>
                <w:tab w:val="right" w:pos="8640"/>
              </w:tabs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Naziv Projekta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305A72">
            <w:pPr>
              <w:tabs>
                <w:tab w:val="center" w:pos="4320"/>
                <w:tab w:val="right" w:pos="8640"/>
              </w:tabs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05A72" w:rsidRPr="00305A72">
              <w:rPr>
                <w:color w:val="000000" w:themeColor="text1"/>
                <w:sz w:val="20"/>
                <w:szCs w:val="20"/>
                <w:lang w:val="en-US"/>
              </w:rPr>
              <w:t>Studija za uspostavu zaštitnih zona izvorišta Klokot</w:t>
            </w:r>
          </w:p>
        </w:tc>
      </w:tr>
      <w:tr w:rsidR="00305A72" w:rsidRPr="00305A72" w:rsidTr="008357B4">
        <w:trPr>
          <w:trHeight w:val="278"/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tabs>
                <w:tab w:val="center" w:pos="4320"/>
                <w:tab w:val="right" w:pos="8640"/>
              </w:tabs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Obim projektnih aktivnosti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987F96" w:rsidP="008F42F3">
            <w:pPr>
              <w:tabs>
                <w:tab w:val="center" w:pos="4320"/>
                <w:tab w:val="right" w:pos="8640"/>
              </w:tabs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05A72" w:rsidRPr="00305A72" w:rsidTr="008357B4">
        <w:trPr>
          <w:trHeight w:val="1457"/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EC0845" w:rsidRPr="00305A72" w:rsidRDefault="00EC0845" w:rsidP="008F42F3">
            <w:pPr>
              <w:tabs>
                <w:tab w:val="center" w:pos="4320"/>
                <w:tab w:val="right" w:pos="8640"/>
              </w:tabs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Institucionalni aranžman</w:t>
            </w:r>
          </w:p>
          <w:p w:rsidR="00EC0845" w:rsidRPr="00305A72" w:rsidRDefault="00EC0845" w:rsidP="008F42F3">
            <w:pPr>
              <w:tabs>
                <w:tab w:val="center" w:pos="4320"/>
                <w:tab w:val="right" w:pos="8640"/>
              </w:tabs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(Ime i kontakt)</w:t>
            </w:r>
          </w:p>
          <w:p w:rsidR="005F0284" w:rsidRPr="00305A72" w:rsidRDefault="005F0284" w:rsidP="00EC0845">
            <w:pPr>
              <w:tabs>
                <w:tab w:val="center" w:pos="4320"/>
                <w:tab w:val="right" w:pos="8640"/>
              </w:tabs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SB</w:t>
            </w:r>
          </w:p>
          <w:p w:rsidR="00987F96" w:rsidRPr="00305A72" w:rsidRDefault="00AF3030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(</w:t>
            </w:r>
            <w:r w:rsidR="00EC0845" w:rsidRPr="00305A72">
              <w:rPr>
                <w:color w:val="000000" w:themeColor="text1"/>
                <w:sz w:val="16"/>
                <w:szCs w:val="16"/>
                <w:lang w:val="en-US"/>
              </w:rPr>
              <w:t>Rokovodilac projekta</w:t>
            </w: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983800" w:rsidRPr="00305A72" w:rsidRDefault="00983800" w:rsidP="005D2599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305A72" w:rsidRPr="00305A72" w:rsidRDefault="00305A72" w:rsidP="005D2599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Igor Palandžić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Upravljanje projektom</w:t>
            </w:r>
          </w:p>
          <w:p w:rsidR="00015B00" w:rsidRPr="00305A72" w:rsidRDefault="00015B00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305A72" w:rsidRPr="00305A72" w:rsidRDefault="00717B6F" w:rsidP="00305A72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SB</w:t>
            </w:r>
          </w:p>
        </w:tc>
        <w:tc>
          <w:tcPr>
            <w:tcW w:w="35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Lokalni partner ili krajnji korisnik</w:t>
            </w:r>
          </w:p>
          <w:p w:rsidR="00015B00" w:rsidRPr="00305A72" w:rsidRDefault="00015B00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305A72" w:rsidRPr="00305A72" w:rsidRDefault="00305A72" w:rsidP="00305A72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Hrvatske Vode (HR)</w:t>
            </w:r>
          </w:p>
          <w:p w:rsidR="00305A72" w:rsidRDefault="00305A72" w:rsidP="00305A72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Ministarstvo poljoprivrede, vodoprivrede i šumarstva FBIH (BiH)</w:t>
            </w:r>
          </w:p>
          <w:p w:rsidR="00717B6F" w:rsidRPr="00717B6F" w:rsidRDefault="00717B6F" w:rsidP="00305A72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Agencija za vodno podru</w:t>
            </w:r>
            <w:r>
              <w:rPr>
                <w:color w:val="000000" w:themeColor="text1"/>
                <w:sz w:val="16"/>
                <w:szCs w:val="16"/>
                <w:lang w:val="bs-Latn-BA"/>
              </w:rPr>
              <w:t>čje rijeke Save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FF60F8" w:rsidRPr="00305A72" w:rsidRDefault="00305A72" w:rsidP="00305A72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Općina Bihać</w:t>
            </w:r>
          </w:p>
        </w:tc>
      </w:tr>
      <w:tr w:rsidR="00305A72" w:rsidRPr="00305A72" w:rsidTr="008357B4">
        <w:trPr>
          <w:trHeight w:val="1070"/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EC0845" w:rsidRPr="00305A72" w:rsidRDefault="00EC0845" w:rsidP="00EC0845">
            <w:pPr>
              <w:tabs>
                <w:tab w:val="center" w:pos="4320"/>
                <w:tab w:val="right" w:pos="8640"/>
              </w:tabs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Implementacione odgovornosti</w:t>
            </w:r>
          </w:p>
          <w:p w:rsidR="00EC0845" w:rsidRPr="00305A72" w:rsidRDefault="00EC0845" w:rsidP="00EC0845">
            <w:pPr>
              <w:tabs>
                <w:tab w:val="center" w:pos="4320"/>
                <w:tab w:val="right" w:pos="8640"/>
              </w:tabs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(Ime i kontakt)</w:t>
            </w:r>
          </w:p>
          <w:p w:rsidR="00987F96" w:rsidRPr="00305A72" w:rsidRDefault="00987F96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Okolinski aspekti</w:t>
            </w:r>
          </w:p>
          <w:p w:rsidR="00015B00" w:rsidRPr="00305A72" w:rsidRDefault="00015B00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015B00" w:rsidRPr="00305A72" w:rsidRDefault="00305A72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Nataša Vetma </w:t>
            </w:r>
          </w:p>
          <w:p w:rsidR="00FF60F8" w:rsidRPr="00305A72" w:rsidRDefault="00FF60F8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Esma Kreso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015B00" w:rsidRPr="00305A72" w:rsidRDefault="00EC0845" w:rsidP="005D2599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Lokalni nadzor od strane partnera</w:t>
            </w: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Lokalni inspekcijski nadzor</w:t>
            </w:r>
          </w:p>
          <w:p w:rsidR="00987F96" w:rsidRPr="00305A72" w:rsidRDefault="00987F96" w:rsidP="00015B00">
            <w:pPr>
              <w:spacing w:before="6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5D2599" w:rsidRPr="00305A72" w:rsidRDefault="00EC0845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Podugovarač / Izvođač</w:t>
            </w:r>
          </w:p>
          <w:p w:rsidR="00987F96" w:rsidRPr="00305A72" w:rsidRDefault="00987F96" w:rsidP="008F42F3">
            <w:pPr>
              <w:spacing w:before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05A72" w:rsidRPr="00305A72" w:rsidTr="008357B4">
        <w:trPr>
          <w:trHeight w:val="404"/>
          <w:jc w:val="center"/>
        </w:trPr>
        <w:tc>
          <w:tcPr>
            <w:tcW w:w="973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CCFFFF"/>
          </w:tcPr>
          <w:p w:rsidR="00987F96" w:rsidRPr="00305A72" w:rsidRDefault="00EC0845" w:rsidP="008F42F3">
            <w:pPr>
              <w:spacing w:before="6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OPIS LOKACIJE </w:t>
            </w: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Naziv lokacije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305A72" w:rsidP="008F42F3">
            <w:pPr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C0845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Kratki opis lokacije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987F96" w:rsidP="0087139F">
            <w:pPr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FF60F8">
            <w:pPr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Prilog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br. 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1:     </w:t>
            </w:r>
            <w:r w:rsidR="00FF60F8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Ne</w:t>
            </w:r>
          </w:p>
          <w:p w:rsidR="00EC0845" w:rsidRPr="00305A72" w:rsidRDefault="00EC0845" w:rsidP="00FF60F8">
            <w:pPr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(mapa lokacije)</w:t>
            </w: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EC0845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Vlasništvo nad zemljištem i objektom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87F96" w:rsidRPr="00305A72" w:rsidRDefault="00987F96" w:rsidP="008F42F3">
            <w:pPr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EC0845" w:rsidRPr="00305A72" w:rsidRDefault="00EC0845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Opis geografskih, fizičkih, bioloških, geoloških, hidroloških i socioekonomskih parametara na lokaciji </w:t>
            </w:r>
          </w:p>
          <w:p w:rsidR="00987F96" w:rsidRPr="00305A72" w:rsidRDefault="00987F96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326C0" w:rsidRPr="00305A72" w:rsidRDefault="007326C0" w:rsidP="00FF60F8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</w:tcPr>
          <w:p w:rsidR="00EC0845" w:rsidRPr="00305A72" w:rsidRDefault="00EC0845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Udaljenost lokacije do izvora materijala kao što je agregat, voda, kamen, i sl. </w:t>
            </w:r>
          </w:p>
          <w:p w:rsidR="00987F96" w:rsidRPr="00305A72" w:rsidRDefault="00987F96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326C0" w:rsidRPr="00305A72" w:rsidRDefault="0087139F" w:rsidP="008357B4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305A72" w:rsidRPr="00305A72" w:rsidTr="008357B4">
        <w:trPr>
          <w:trHeight w:val="350"/>
          <w:jc w:val="center"/>
        </w:trPr>
        <w:tc>
          <w:tcPr>
            <w:tcW w:w="973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CCFFFF"/>
          </w:tcPr>
          <w:p w:rsidR="00987F96" w:rsidRPr="00305A72" w:rsidRDefault="00EC0845" w:rsidP="008F42F3">
            <w:pPr>
              <w:spacing w:before="6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ZAKONODAVNI OKVIR</w:t>
            </w: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0845" w:rsidRPr="00305A72" w:rsidRDefault="00EC0845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Identificirani lokalni i državni zakonski okvir i dozvole koje su potrebne za predmetnu aktivnost </w:t>
            </w:r>
          </w:p>
          <w:p w:rsidR="00987F96" w:rsidRPr="00305A72" w:rsidRDefault="00987F96" w:rsidP="008F42F3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E0D" w:rsidRPr="00305A72" w:rsidRDefault="00E85E0D" w:rsidP="00FC24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326C0" w:rsidRPr="00305A72" w:rsidRDefault="007326C0" w:rsidP="003E40C8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05A72" w:rsidRPr="00305A72" w:rsidTr="008357B4">
        <w:trPr>
          <w:trHeight w:val="314"/>
          <w:jc w:val="center"/>
        </w:trPr>
        <w:tc>
          <w:tcPr>
            <w:tcW w:w="9738" w:type="dxa"/>
            <w:gridSpan w:val="5"/>
            <w:tcBorders>
              <w:top w:val="dotted" w:sz="4" w:space="0" w:color="auto"/>
              <w:bottom w:val="nil"/>
            </w:tcBorders>
            <w:shd w:val="pct5" w:color="auto" w:fill="CCFFFF"/>
          </w:tcPr>
          <w:p w:rsidR="00987F96" w:rsidRPr="00305A72" w:rsidRDefault="00EC0845" w:rsidP="008F42F3">
            <w:pPr>
              <w:spacing w:before="6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JAVNA RASPRAVA</w:t>
            </w: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548C" w:rsidRPr="00305A72" w:rsidRDefault="0087139F" w:rsidP="0087139F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Navesti gdje i kada je održana javna rasprava </w:t>
            </w:r>
          </w:p>
        </w:tc>
        <w:tc>
          <w:tcPr>
            <w:tcW w:w="7119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8548C" w:rsidRPr="00305A72" w:rsidRDefault="00305A72" w:rsidP="00305A72">
            <w:pPr>
              <w:pStyle w:val="BodyText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Checklist EMP document, zajedno</w:t>
            </w:r>
            <w:r w:rsidR="0087139F"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sa obavjesti o početku i trajanju radova je postavljena na oglasnu ploču </w:t>
            </w:r>
            <w:r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u najbližem naselju/općini</w:t>
            </w:r>
            <w:r w:rsidR="0087139F"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prije početka radova. Susjedni objekti i komšije</w:t>
            </w:r>
            <w:r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(ako ih ima</w:t>
            </w:r>
            <w:proofErr w:type="gramStart"/>
            <w:r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) </w:t>
            </w:r>
            <w:r w:rsidR="0087139F"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su</w:t>
            </w:r>
            <w:proofErr w:type="gramEnd"/>
            <w:r w:rsidR="0087139F" w:rsidRPr="00305A72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obavješteni o intervalu radova. </w:t>
            </w:r>
          </w:p>
        </w:tc>
      </w:tr>
      <w:tr w:rsidR="00305A72" w:rsidRPr="00305A72" w:rsidTr="008357B4">
        <w:trPr>
          <w:trHeight w:val="260"/>
          <w:jc w:val="center"/>
        </w:trPr>
        <w:tc>
          <w:tcPr>
            <w:tcW w:w="9738" w:type="dxa"/>
            <w:gridSpan w:val="5"/>
            <w:tcBorders>
              <w:top w:val="dotted" w:sz="4" w:space="0" w:color="auto"/>
              <w:bottom w:val="nil"/>
            </w:tcBorders>
            <w:shd w:val="pct5" w:color="auto" w:fill="CCFFFF"/>
          </w:tcPr>
          <w:p w:rsidR="0068548C" w:rsidRPr="00305A72" w:rsidRDefault="0087139F" w:rsidP="00EB1BC5">
            <w:pPr>
              <w:spacing w:before="6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INSTITUCIONALNE JAČANJE KAPACITETA</w:t>
            </w:r>
          </w:p>
        </w:tc>
      </w:tr>
      <w:tr w:rsidR="00305A72" w:rsidRPr="00305A72" w:rsidTr="008357B4">
        <w:trPr>
          <w:jc w:val="center"/>
        </w:trPr>
        <w:tc>
          <w:tcPr>
            <w:tcW w:w="261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649D" w:rsidRPr="00305A72" w:rsidRDefault="0087139F" w:rsidP="0087139F">
            <w:pPr>
              <w:spacing w:before="60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Da li aktivnost obuhvata jačanje kapaciteta ili dodatni trening? </w:t>
            </w:r>
          </w:p>
        </w:tc>
        <w:tc>
          <w:tcPr>
            <w:tcW w:w="7119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0649D" w:rsidRPr="00305A72" w:rsidRDefault="00AF3030" w:rsidP="0087139F">
            <w:pPr>
              <w:spacing w:before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[ ] N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ili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[ ]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Da, ako je odgovor DA, Prilog br. 2 sadrži plan jačanja kapaciteta </w:t>
            </w:r>
          </w:p>
        </w:tc>
      </w:tr>
    </w:tbl>
    <w:p w:rsidR="00987F96" w:rsidRPr="00305A72" w:rsidRDefault="00987F96" w:rsidP="00987F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rPr>
          <w:b/>
          <w:color w:val="000000" w:themeColor="text1"/>
          <w:sz w:val="22"/>
          <w:szCs w:val="22"/>
          <w:lang w:val="en-US"/>
        </w:rPr>
        <w:sectPr w:rsidR="00987F96" w:rsidRPr="00305A72" w:rsidSect="007D6BBE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1095"/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5086"/>
        <w:gridCol w:w="2738"/>
        <w:gridCol w:w="3774"/>
      </w:tblGrid>
      <w:tr w:rsidR="00305A72" w:rsidRPr="00305A72">
        <w:trPr>
          <w:trHeight w:val="347"/>
        </w:trPr>
        <w:tc>
          <w:tcPr>
            <w:tcW w:w="1329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auto" w:fill="CCFFFF"/>
          </w:tcPr>
          <w:p w:rsidR="00AD4161" w:rsidRPr="00305A72" w:rsidRDefault="0087139F" w:rsidP="00542BCD">
            <w:pPr>
              <w:spacing w:before="60" w:after="60"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05A72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PREGLED OKOLINSKIH I SOCIJALNIH MJERA</w:t>
            </w:r>
          </w:p>
        </w:tc>
      </w:tr>
      <w:tr w:rsidR="00305A72" w:rsidRPr="00305A72">
        <w:trPr>
          <w:trHeight w:val="287"/>
        </w:trPr>
        <w:tc>
          <w:tcPr>
            <w:tcW w:w="1697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D4161" w:rsidRPr="00305A72" w:rsidRDefault="0087139F" w:rsidP="00A2125C">
            <w:pPr>
              <w:spacing w:before="60" w:after="60"/>
              <w:rPr>
                <w:color w:val="000000" w:themeColor="text1"/>
                <w:sz w:val="22"/>
                <w:szCs w:val="22"/>
                <w:lang w:val="en-US"/>
              </w:rPr>
            </w:pPr>
            <w:r w:rsidRPr="00305A72">
              <w:rPr>
                <w:color w:val="000000" w:themeColor="text1"/>
                <w:sz w:val="22"/>
                <w:szCs w:val="22"/>
                <w:lang w:val="en-US"/>
              </w:rPr>
              <w:t>Da li će predmetna aktivnost da obuhvati slijedeće stavke:</w:t>
            </w:r>
          </w:p>
        </w:tc>
        <w:tc>
          <w:tcPr>
            <w:tcW w:w="508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spacing w:before="60" w:after="6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05A72">
              <w:rPr>
                <w:b/>
                <w:color w:val="000000" w:themeColor="text1"/>
                <w:sz w:val="22"/>
                <w:szCs w:val="22"/>
                <w:lang w:val="en-US"/>
              </w:rPr>
              <w:t>Aktivnost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spacing w:before="60" w:after="6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05A72">
              <w:rPr>
                <w:b/>
                <w:color w:val="000000" w:themeColor="text1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05A72">
              <w:rPr>
                <w:b/>
                <w:color w:val="000000" w:themeColor="text1"/>
                <w:sz w:val="22"/>
                <w:szCs w:val="22"/>
                <w:lang w:val="en-US"/>
              </w:rPr>
              <w:t>Pokrenute mjere</w:t>
            </w:r>
          </w:p>
        </w:tc>
      </w:tr>
      <w:tr w:rsidR="00305A72" w:rsidRPr="00305A72">
        <w:trPr>
          <w:trHeight w:val="215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AF3030" w:rsidP="0087139F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="0087139F"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Rehabilitacija/renoviranje zgrada</w:t>
            </w: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A2125C">
            <w:pPr>
              <w:spacing w:before="60" w:after="60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[</w:t>
            </w:r>
            <w:r w:rsidR="00305A72" w:rsidRPr="00305A72">
              <w:rPr>
                <w:color w:val="000000" w:themeColor="text1"/>
                <w:u w:val="single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] </w:t>
            </w:r>
            <w:r w:rsidR="0087139F"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 [ ] N</w:t>
            </w:r>
            <w:r w:rsidR="0087139F"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Vidjeti odjeljak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 A </w:t>
            </w:r>
            <w:r w:rsidRPr="00305A7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Minorna izgradnja (nova)</w:t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A2125C">
            <w:pPr>
              <w:spacing w:before="60" w:after="60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[</w:t>
            </w:r>
            <w:r w:rsidR="00305A72"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] </w:t>
            </w:r>
            <w:r w:rsidR="0087139F"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 [</w:t>
            </w:r>
            <w:r w:rsidR="00305A72"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] N</w:t>
            </w:r>
            <w:r w:rsidR="0087139F" w:rsidRPr="00305A72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Vidjeti odjeljak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 A </w:t>
            </w:r>
            <w:r w:rsidRPr="00305A72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Odvojeni system za kanalizaciju/otpadne vode</w:t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305A72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[</w:t>
            </w:r>
            <w:r w:rsidR="00305A72" w:rsidRPr="00305A72">
              <w:rPr>
                <w:b/>
                <w:color w:val="000000" w:themeColor="text1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] N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Vidjeti odjeljak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Historijske zgrade ili predjele</w:t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305A72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[</w:t>
            </w:r>
            <w:r w:rsidR="00305A72" w:rsidRPr="00305A72">
              <w:rPr>
                <w:b/>
                <w:color w:val="000000" w:themeColor="text1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Ne 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Vidjeti odjeljak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AF3030" w:rsidP="0087139F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Nabavku zemljišta</w:t>
            </w:r>
            <w:r w:rsidRPr="00305A72">
              <w:rPr>
                <w:rStyle w:val="FootnoteReference"/>
                <w:color w:val="000000" w:themeColor="text1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305A72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[</w:t>
            </w:r>
            <w:r w:rsidR="00305A72" w:rsidRPr="00305A72">
              <w:rPr>
                <w:b/>
                <w:color w:val="000000" w:themeColor="text1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] N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Vidjeti odjeljak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D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87139F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Opasne ili toksične materije</w:t>
            </w:r>
            <w:r w:rsidR="00AF3030" w:rsidRPr="00305A72">
              <w:rPr>
                <w:rStyle w:val="FootnoteReference"/>
                <w:color w:val="000000" w:themeColor="text1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FF60F8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[</w:t>
            </w:r>
            <w:r w:rsidR="00305A72" w:rsidRPr="00305A72">
              <w:rPr>
                <w:b/>
                <w:color w:val="000000" w:themeColor="text1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] N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Vidjeti odjeljak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Uticaj na šume i/ili zaštićena područja</w:t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305A72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[</w:t>
            </w:r>
            <w:r w:rsidR="00305A72" w:rsidRPr="00305A72">
              <w:rPr>
                <w:b/>
                <w:color w:val="000000" w:themeColor="text1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] N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Vidjeti odjeljak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F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AD4161" w:rsidRPr="00305A72" w:rsidRDefault="00AD4161" w:rsidP="00A2125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Upravljanje medicinskim otpadom</w:t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305A72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[</w:t>
            </w:r>
            <w:r w:rsidR="00305A72" w:rsidRPr="00305A72">
              <w:rPr>
                <w:b/>
                <w:color w:val="000000" w:themeColor="text1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] N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Vidjeti odjeljak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G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ispod</w:t>
            </w:r>
          </w:p>
        </w:tc>
      </w:tr>
      <w:tr w:rsidR="00305A72" w:rsidRPr="00305A72" w:rsidTr="0087139F">
        <w:trPr>
          <w:trHeight w:val="58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161" w:rsidRPr="00305A72" w:rsidRDefault="00AD4161" w:rsidP="00A2125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D4161" w:rsidRPr="00305A72" w:rsidRDefault="0087139F" w:rsidP="00A2125C">
            <w:pPr>
              <w:numPr>
                <w:ilvl w:val="0"/>
                <w:numId w:val="6"/>
              </w:num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Sigurnost saobraćaja i pješaka </w:t>
            </w: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4161" w:rsidRPr="00305A72" w:rsidRDefault="00AF3030" w:rsidP="00305A7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[ ] 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Da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[ </w:t>
            </w:r>
            <w:r w:rsidR="00305A72" w:rsidRPr="00305A72">
              <w:rPr>
                <w:b/>
                <w:color w:val="000000" w:themeColor="text1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] N</w:t>
            </w:r>
            <w:r w:rsidR="0087139F" w:rsidRPr="00305A7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D4161" w:rsidRPr="00305A72" w:rsidRDefault="0087139F" w:rsidP="00A2125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Vidjeti odjeljak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AF3030"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H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ispod</w:t>
            </w:r>
          </w:p>
        </w:tc>
      </w:tr>
      <w:tr w:rsidR="00305A72" w:rsidRPr="00305A72">
        <w:trPr>
          <w:trHeight w:val="58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:rsidR="0087139F" w:rsidRPr="00305A72" w:rsidRDefault="0087139F" w:rsidP="00A2125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8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87139F" w:rsidRPr="00305A72" w:rsidRDefault="0087139F" w:rsidP="008357B4">
            <w:pPr>
              <w:spacing w:before="60" w:after="6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7139F" w:rsidRPr="00305A72" w:rsidRDefault="0087139F" w:rsidP="00A2125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7139F" w:rsidRPr="00305A72" w:rsidRDefault="0087139F" w:rsidP="00A2125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EC0845" w:rsidRPr="00305A72" w:rsidRDefault="00EC0845" w:rsidP="00EC0845">
      <w:pPr>
        <w:numPr>
          <w:ilvl w:val="0"/>
          <w:numId w:val="31"/>
        </w:numPr>
        <w:rPr>
          <w:b/>
          <w:bCs/>
          <w:color w:val="000000" w:themeColor="text1"/>
          <w:lang w:val="en-US"/>
        </w:rPr>
      </w:pPr>
      <w:r w:rsidRPr="00305A72">
        <w:rPr>
          <w:b/>
          <w:bCs/>
          <w:color w:val="000000" w:themeColor="text1"/>
          <w:lang w:val="en-US"/>
        </w:rPr>
        <w:t xml:space="preserve">PODACI O MJERAMA ZAŠTITE </w:t>
      </w:r>
    </w:p>
    <w:p w:rsidR="00A2125C" w:rsidRPr="00305A72" w:rsidRDefault="00A2125C" w:rsidP="00EC0845">
      <w:pPr>
        <w:ind w:left="720"/>
        <w:rPr>
          <w:b/>
          <w:bCs/>
          <w:color w:val="000000" w:themeColor="text1"/>
          <w:lang w:val="en-US"/>
        </w:rPr>
      </w:pPr>
    </w:p>
    <w:p w:rsidR="00CD1E8E" w:rsidRPr="00305A72" w:rsidRDefault="00CD1E8E" w:rsidP="00466A23">
      <w:pPr>
        <w:pStyle w:val="Heading2"/>
        <w:jc w:val="left"/>
        <w:rPr>
          <w:color w:val="000000" w:themeColor="text1"/>
          <w:sz w:val="16"/>
          <w:szCs w:val="16"/>
          <w:lang w:val="en-US"/>
        </w:rPr>
      </w:pPr>
    </w:p>
    <w:p w:rsidR="00AD4161" w:rsidRPr="00305A72" w:rsidRDefault="00AD4161" w:rsidP="00AD4161">
      <w:pPr>
        <w:rPr>
          <w:color w:val="000000" w:themeColor="text1"/>
          <w:lang w:val="en-US"/>
        </w:rPr>
      </w:pPr>
    </w:p>
    <w:p w:rsidR="00FE5B96" w:rsidRPr="00305A72" w:rsidRDefault="00FE5B96" w:rsidP="00AD4161">
      <w:pPr>
        <w:rPr>
          <w:color w:val="000000" w:themeColor="text1"/>
          <w:lang w:val="en-US"/>
        </w:rPr>
      </w:pPr>
    </w:p>
    <w:p w:rsidR="00FE5B96" w:rsidRPr="00305A72" w:rsidRDefault="00FE5B96" w:rsidP="00AD4161">
      <w:pPr>
        <w:rPr>
          <w:color w:val="000000" w:themeColor="text1"/>
          <w:lang w:val="en-US"/>
        </w:rPr>
      </w:pPr>
    </w:p>
    <w:p w:rsidR="00FE5B96" w:rsidRPr="00305A72" w:rsidRDefault="00FE5B96" w:rsidP="00AD4161">
      <w:pPr>
        <w:rPr>
          <w:color w:val="000000" w:themeColor="text1"/>
          <w:lang w:val="en-US"/>
        </w:rPr>
      </w:pPr>
    </w:p>
    <w:p w:rsidR="00FE5B96" w:rsidRPr="00305A72" w:rsidRDefault="00FE5B96" w:rsidP="00AD4161">
      <w:pPr>
        <w:rPr>
          <w:color w:val="000000" w:themeColor="text1"/>
          <w:lang w:val="en-US"/>
        </w:rPr>
      </w:pPr>
    </w:p>
    <w:p w:rsidR="00FE5B96" w:rsidRPr="00305A72" w:rsidRDefault="00FE5B96" w:rsidP="00AD4161">
      <w:pPr>
        <w:rPr>
          <w:color w:val="000000" w:themeColor="text1"/>
          <w:lang w:val="en-US"/>
        </w:rPr>
      </w:pPr>
    </w:p>
    <w:p w:rsidR="00FE5B96" w:rsidRPr="00305A72" w:rsidRDefault="00FE5B96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676AA5" w:rsidP="00AD4161">
      <w:pPr>
        <w:rPr>
          <w:color w:val="000000" w:themeColor="text1"/>
          <w:lang w:val="en-US"/>
        </w:rPr>
      </w:pPr>
    </w:p>
    <w:p w:rsidR="00676AA5" w:rsidRPr="00305A72" w:rsidRDefault="00AF3030" w:rsidP="00676AA5">
      <w:pPr>
        <w:numPr>
          <w:ilvl w:val="0"/>
          <w:numId w:val="7"/>
        </w:numPr>
        <w:rPr>
          <w:b/>
          <w:bCs/>
          <w:color w:val="000000" w:themeColor="text1"/>
          <w:lang w:val="en-US"/>
        </w:rPr>
      </w:pPr>
      <w:r w:rsidRPr="00305A72">
        <w:rPr>
          <w:b/>
          <w:bCs/>
          <w:color w:val="000000" w:themeColor="text1"/>
          <w:lang w:val="en-US"/>
        </w:rPr>
        <w:lastRenderedPageBreak/>
        <w:t xml:space="preserve">  </w:t>
      </w:r>
      <w:r w:rsidR="00EC0845" w:rsidRPr="00305A72">
        <w:rPr>
          <w:b/>
          <w:bCs/>
          <w:color w:val="000000" w:themeColor="text1"/>
          <w:lang w:val="en-US"/>
        </w:rPr>
        <w:t>MJERE UBLAŽAVANJA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872"/>
        <w:gridCol w:w="9424"/>
      </w:tblGrid>
      <w:tr w:rsidR="00305A72" w:rsidRPr="00305A72" w:rsidTr="009C307C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</w:tcPr>
          <w:p w:rsidR="004C6B28" w:rsidRPr="00305A72" w:rsidRDefault="00691532" w:rsidP="00B46C1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AKTIVNOST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CCFFFF"/>
          </w:tcPr>
          <w:p w:rsidR="004C6B28" w:rsidRPr="00305A72" w:rsidRDefault="00691532" w:rsidP="00B46C1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PARAMETAR</w:t>
            </w:r>
          </w:p>
        </w:tc>
        <w:tc>
          <w:tcPr>
            <w:tcW w:w="35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CCFFFF"/>
          </w:tcPr>
          <w:p w:rsidR="004C6B28" w:rsidRPr="00305A72" w:rsidRDefault="00691532" w:rsidP="00B46C1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SPISAK MJERA UBLAŽAVANJA</w:t>
            </w:r>
          </w:p>
        </w:tc>
      </w:tr>
      <w:tr w:rsidR="00305A72" w:rsidRPr="00305A72" w:rsidTr="009C307C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C6B28" w:rsidRPr="00305A72" w:rsidRDefault="00AF3030" w:rsidP="00691532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0. </w:t>
            </w:r>
            <w:r w:rsidR="00691532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Opšti uslovi</w:t>
            </w:r>
          </w:p>
        </w:tc>
        <w:tc>
          <w:tcPr>
            <w:tcW w:w="7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6B28" w:rsidRPr="00305A72" w:rsidRDefault="0069153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Obavij</w:t>
            </w:r>
            <w:r w:rsidR="00B57A63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e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sti, znakovi i sigurnost na radu</w:t>
            </w:r>
          </w:p>
        </w:tc>
        <w:tc>
          <w:tcPr>
            <w:tcW w:w="3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CDF" w:rsidRPr="00305A72" w:rsidRDefault="003C0CDF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Lokalni inspektorati koji vrše nadzor nad gradnjom i zaštitom okoliša, kao i lokalna zajednica su obavješteni o budućim radovima</w:t>
            </w:r>
          </w:p>
          <w:p w:rsidR="003C0CDF" w:rsidRPr="00305A72" w:rsidRDefault="003C0CDF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Javnost je obavještena o budućim radovima putem adekvatnih mehanizama u medijima i/ili putem javno dostupnih oglasnih mjesta (uključujući i samo mjesto gdje će se vršiti radovi)</w:t>
            </w:r>
          </w:p>
          <w:p w:rsidR="003C0CDF" w:rsidRPr="00305A72" w:rsidRDefault="003C0CDF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Sve zakonski propisane dozvole su pribavljene za građevinske radove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ili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radove renoviranja.</w:t>
            </w:r>
          </w:p>
          <w:p w:rsidR="003C0CDF" w:rsidRPr="00305A72" w:rsidRDefault="00AF3030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3C0CDF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Svi radovi </w:t>
            </w:r>
            <w:proofErr w:type="gramStart"/>
            <w:r w:rsidR="003C0CDF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="003C0CDF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vršiti na najsigurniji i disciplinovani način putem kojeg će se smanjiti uticaji na susjedne objekte i okoliš. </w:t>
            </w:r>
          </w:p>
          <w:p w:rsidR="003C0CDF" w:rsidRPr="00305A72" w:rsidRDefault="003C0CDF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Radnici će biti opremljeni ličnom zaštitnom opremom prema međunarodnim standardima i dobroj praksi (šljemovi, po potrebi maske i zaštitne naočale i HTZ čizme)</w:t>
            </w:r>
          </w:p>
          <w:p w:rsidR="003C0CDF" w:rsidRPr="00305A72" w:rsidRDefault="003C0CDF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Adekvatno obilježavanje lokacije putem kojih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radnici biti informisani o ključnim pravilima rada. </w:t>
            </w:r>
          </w:p>
          <w:p w:rsidR="003C0CDF" w:rsidRPr="00305A72" w:rsidRDefault="003C0CDF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Definisano angažovanje uposlenika i radnika u sferi sigurnosti I zaštite okoliša.</w:t>
            </w:r>
          </w:p>
          <w:p w:rsidR="003C0CDF" w:rsidRPr="00305A72" w:rsidRDefault="003C0CDF" w:rsidP="008840A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Jasne procedure za projekat i sigurnost.</w:t>
            </w:r>
          </w:p>
          <w:p w:rsidR="004C6B28" w:rsidRDefault="008840A4" w:rsidP="008840A4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 </w:t>
            </w:r>
            <w:r w:rsidR="003C0CDF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Redovno i pravovremeno uklanjanje otpada </w:t>
            </w:r>
            <w:proofErr w:type="gramStart"/>
            <w:r w:rsidR="003C0CDF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sa</w:t>
            </w:r>
            <w:proofErr w:type="gramEnd"/>
            <w:r w:rsidR="003C0CDF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gradilišta. </w:t>
            </w:r>
          </w:p>
          <w:p w:rsidR="00717B6F" w:rsidRPr="00305A72" w:rsidRDefault="00717B6F" w:rsidP="00717B6F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U slu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/>
              </w:rPr>
              <w:t xml:space="preserve">čaju pronalaska NUS (neeksplodiranih ubojitis sredstava) potrebno je </w:t>
            </w:r>
            <w:r w:rsidRPr="00717B6F">
              <w:rPr>
                <w:rFonts w:ascii="Arial" w:hAnsi="Arial" w:cs="Arial"/>
                <w:color w:val="000000" w:themeColor="text1"/>
                <w:sz w:val="17"/>
                <w:szCs w:val="17"/>
                <w:lang w:val="bs-Latn-BA"/>
              </w:rPr>
              <w:t>pribavljanje odobrenja od ovlaštenih organa za deminiranje prije početka radova</w:t>
            </w:r>
          </w:p>
        </w:tc>
      </w:tr>
      <w:tr w:rsidR="00305A72" w:rsidRPr="00305A72" w:rsidTr="009C307C"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6B28" w:rsidRPr="00305A72" w:rsidRDefault="00AF3030" w:rsidP="00691532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A. </w:t>
            </w:r>
            <w:r w:rsidR="00691532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Opšte aktivnosti renoviranja i/ili izgradnje</w:t>
            </w:r>
          </w:p>
        </w:tc>
        <w:tc>
          <w:tcPr>
            <w:tcW w:w="7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6B28" w:rsidRPr="00305A72" w:rsidRDefault="0069153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Kvalitet zraka</w:t>
            </w:r>
          </w:p>
        </w:tc>
        <w:tc>
          <w:tcPr>
            <w:tcW w:w="357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05E8C" w:rsidRPr="00305A72" w:rsidRDefault="00B05E8C" w:rsidP="00B46C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U toku unutarnjih radova i rušenja (rušenje zidova, pneumatski radovi) prašina koja se stvara u toku rada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kontrolisati bilo prskanjem vodom ili postavljanjem zaštitnih pokrivača.</w:t>
            </w:r>
          </w:p>
          <w:p w:rsidR="00B05E8C" w:rsidRPr="00305A72" w:rsidRDefault="00B05E8C" w:rsidP="00B46C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Otpad prouzrokovan rušenjem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držati u kontrolisanom području sa ograničenim pristupom, i prskat će se vodom da se spriječi generisanje prašine. </w:t>
            </w:r>
          </w:p>
          <w:p w:rsidR="00B05E8C" w:rsidRPr="00305A72" w:rsidRDefault="00B05E8C" w:rsidP="00B46C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Okoliš u blizini zgrade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zaštititi od odlaganja otpada bilo komunalnog ili građevinskog.</w:t>
            </w:r>
          </w:p>
          <w:p w:rsidR="00B05E8C" w:rsidRPr="00305A72" w:rsidRDefault="00B05E8C" w:rsidP="00B46C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Otpad se NEĆE spaljivati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na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otvorenom na lokaciji ili bilo gdje drugdje.</w:t>
            </w:r>
          </w:p>
          <w:p w:rsidR="004C6B28" w:rsidRPr="00305A72" w:rsidRDefault="00B05E8C" w:rsidP="00B05E8C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Mašine i vozila koja se koriste u toku rada neće imati praznog hoda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Pr="00305A72">
              <w:rPr>
                <w:rFonts w:ascii="Arial" w:hAnsi="Arial" w:cs="Arial"/>
                <w:noProof/>
                <w:color w:val="000000" w:themeColor="text1"/>
                <w:sz w:val="17"/>
                <w:szCs w:val="17"/>
                <w:lang w:val="en-US"/>
              </w:rPr>
              <w:t>motorom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koji radi u toku stajanja. </w:t>
            </w:r>
            <w:r w:rsidR="00AF3030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</w:tc>
      </w:tr>
      <w:tr w:rsidR="00305A72" w:rsidRPr="00305A72" w:rsidTr="009C307C">
        <w:trPr>
          <w:trHeight w:val="520"/>
        </w:trPr>
        <w:tc>
          <w:tcPr>
            <w:tcW w:w="721" w:type="pct"/>
            <w:vMerge/>
            <w:tcBorders>
              <w:left w:val="single" w:sz="4" w:space="0" w:color="auto"/>
            </w:tcBorders>
          </w:tcPr>
          <w:p w:rsidR="004C6B28" w:rsidRPr="00305A72" w:rsidRDefault="004C6B28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6B28" w:rsidRPr="00305A72" w:rsidRDefault="00935638" w:rsidP="00935638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Buka</w:t>
            </w:r>
          </w:p>
        </w:tc>
        <w:tc>
          <w:tcPr>
            <w:tcW w:w="3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5E8C" w:rsidRPr="00305A72" w:rsidRDefault="00B05E8C" w:rsidP="00B46C1D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Buka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ograničiti putem radova koji se vrše prema intervalima definisanim u dozvolama i odobrenjima.</w:t>
            </w:r>
          </w:p>
          <w:p w:rsidR="00B05E8C" w:rsidRPr="00305A72" w:rsidRDefault="00B05E8C" w:rsidP="00B46C1D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Koristit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adekvatne metode zaštite i oprema obložena u cilju smanjenja buke.</w:t>
            </w:r>
          </w:p>
          <w:p w:rsidR="00B05E8C" w:rsidRPr="00305A72" w:rsidRDefault="00B05E8C" w:rsidP="00B05E8C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Za vrijeme rada, poklopci i kućišta opreme kao što su generator, kompresori i slično,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biti zatvoreni a oprema će se držati što je dalje moguće od naseljenih područja.  </w:t>
            </w:r>
          </w:p>
        </w:tc>
      </w:tr>
      <w:tr w:rsidR="00305A72" w:rsidRPr="00305A72" w:rsidTr="009C307C">
        <w:tc>
          <w:tcPr>
            <w:tcW w:w="721" w:type="pct"/>
            <w:vMerge/>
            <w:tcBorders>
              <w:left w:val="single" w:sz="4" w:space="0" w:color="auto"/>
            </w:tcBorders>
          </w:tcPr>
          <w:p w:rsidR="004C6B28" w:rsidRPr="00305A72" w:rsidRDefault="004C6B28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6B28" w:rsidRPr="00305A72" w:rsidRDefault="00935638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Kvalitet vode</w:t>
            </w:r>
          </w:p>
        </w:tc>
        <w:tc>
          <w:tcPr>
            <w:tcW w:w="3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5E8C" w:rsidRPr="00305A72" w:rsidRDefault="00B05E8C" w:rsidP="00B05E8C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Na lokaciji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provoditi adekvatna zaštita od erozije tla kao i kontrola nanosa (plastovi sijena, nasipi od šljunka) putem kojih će se spriječiti narušavanje kvalitete i bistroće vode u vodotokovima. </w:t>
            </w:r>
          </w:p>
        </w:tc>
      </w:tr>
      <w:tr w:rsidR="00305A72" w:rsidRPr="00305A72" w:rsidTr="009C307C">
        <w:trPr>
          <w:trHeight w:val="1111"/>
        </w:trPr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6B28" w:rsidRPr="00305A72" w:rsidRDefault="004C6B28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935638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Upravljanje otpadom</w:t>
            </w:r>
          </w:p>
        </w:tc>
        <w:tc>
          <w:tcPr>
            <w:tcW w:w="357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05E8C" w:rsidRPr="00305A72" w:rsidRDefault="00B05E8C" w:rsidP="00B46C1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Sakupljanje i odvoženje otpada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vršiti </w:t>
            </w:r>
            <w:r w:rsidR="00B57A63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uspotavljenim načinima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za sve glavne vrste otpada koje će se generisati.</w:t>
            </w:r>
          </w:p>
          <w:p w:rsidR="00B05E8C" w:rsidRPr="00305A72" w:rsidRDefault="00B05E8C" w:rsidP="00B46C1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Čvrsti otpad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sakupljati i odlagati na okolinski prihvatljiv način, po mogućnosti na sanitarne deponije.</w:t>
            </w:r>
          </w:p>
          <w:p w:rsidR="00B05E8C" w:rsidRPr="00305A72" w:rsidRDefault="00B05E8C" w:rsidP="00B46C1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Potvrde primopredaje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ili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preuzimanja otpada na određenoj deponiji ili od strane ovlaštenog operatera će se čuvati kao potvrda izvršenih mjera upravljanja otpadom.</w:t>
            </w:r>
          </w:p>
          <w:p w:rsidR="004C6B28" w:rsidRPr="00305A72" w:rsidRDefault="00B05E8C" w:rsidP="00B05E8C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Kad god je to moguće, izvođač radova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ponovno koristiti ili reciklirati korisne sekundarne sirovine iz otpadnih materijala (osim azbesta). </w:t>
            </w:r>
          </w:p>
        </w:tc>
      </w:tr>
      <w:tr w:rsidR="00305A72" w:rsidRPr="00305A72" w:rsidTr="009C307C">
        <w:trPr>
          <w:trHeight w:val="520"/>
        </w:trPr>
        <w:tc>
          <w:tcPr>
            <w:tcW w:w="721" w:type="pct"/>
            <w:tcBorders>
              <w:top w:val="dotted" w:sz="4" w:space="0" w:color="auto"/>
              <w:left w:val="single" w:sz="4" w:space="0" w:color="auto"/>
            </w:tcBorders>
          </w:tcPr>
          <w:p w:rsidR="004C6B28" w:rsidRPr="00305A72" w:rsidRDefault="00AF3030" w:rsidP="00935638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B. </w:t>
            </w:r>
            <w:r w:rsidR="00935638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Tretman otpadnih voda</w:t>
            </w:r>
          </w:p>
        </w:tc>
        <w:tc>
          <w:tcPr>
            <w:tcW w:w="709" w:type="pct"/>
            <w:tcBorders>
              <w:top w:val="dotted" w:sz="4" w:space="0" w:color="auto"/>
            </w:tcBorders>
            <w:shd w:val="clear" w:color="auto" w:fill="auto"/>
          </w:tcPr>
          <w:p w:rsidR="004C6B28" w:rsidRPr="00305A72" w:rsidRDefault="00935638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Kvalitet vode</w:t>
            </w:r>
          </w:p>
        </w:tc>
        <w:tc>
          <w:tcPr>
            <w:tcW w:w="3571" w:type="pct"/>
            <w:tcBorders>
              <w:top w:val="single" w:sz="4" w:space="0" w:color="auto"/>
            </w:tcBorders>
            <w:shd w:val="clear" w:color="auto" w:fill="auto"/>
          </w:tcPr>
          <w:p w:rsidR="00B57A63" w:rsidRPr="00305A72" w:rsidRDefault="00B57A63" w:rsidP="00B46C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Način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na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koji će se prikupljati i tretirati sanitarne otpadne vode sa gradilišta (izgradnja ili rekonstrukcija) mora biti odobren od strane lokalnih vlasti.</w:t>
            </w:r>
          </w:p>
          <w:p w:rsidR="00B57A63" w:rsidRPr="00305A72" w:rsidRDefault="00B57A63" w:rsidP="00B46C1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Prije nego se otpadne vode ispuste u recipijent, effluent iz individualnih sistema sakupljanja otpadnih voda tj.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kanalizacije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, mora biti tertian kako bi se postigao minimalni kvalitet koji je postavljen u lokalnom zakonodavstvu o kvalitetu efluenta koji se ispušta u recipijent. </w:t>
            </w:r>
          </w:p>
          <w:p w:rsidR="004C6B28" w:rsidRPr="00305A72" w:rsidRDefault="00B57A63" w:rsidP="00B57A6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Vozila koja se koriste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na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gradilištu će se prati samo na određenim površinama gdje će otpadne vode od pranja biti sakupljene i gdje neće narušavati okoliš ili vodotoke. </w:t>
            </w:r>
          </w:p>
        </w:tc>
      </w:tr>
      <w:tr w:rsidR="004C6B28" w:rsidRPr="00305A72" w:rsidTr="009C307C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28" w:rsidRPr="00305A72" w:rsidRDefault="00AF3030" w:rsidP="00935638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C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. </w:t>
            </w:r>
            <w:r w:rsidR="00935638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Historijske zgrade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935638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Kulturno naslijeđe</w:t>
            </w:r>
          </w:p>
        </w:tc>
        <w:tc>
          <w:tcPr>
            <w:tcW w:w="3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7A63" w:rsidRPr="00305A72" w:rsidRDefault="00B57A63" w:rsidP="00B46C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Ako se radovi vrše na zgradi koja je od historijskog značaja, ili u blizini takve zgrade, unutar historijskog distrikta i slično, sve potrebne dozvole za takve radove se moraju pribaviti od određenih institucija i radovi vršiti u skladu sa istim</w:t>
            </w:r>
          </w:p>
          <w:p w:rsidR="004C6B28" w:rsidRDefault="00B57A63" w:rsidP="00B57A63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U slučaju slučajnog pronalaska artifakta, kulturno-historijskih, masovnih grobnica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ili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slično, svi radovi će biti obustavljeni, pronalazak zabilježen, odgovarajuće institucije obavještene te će se sa radovima nastaviti tek nakon završetka rada nadležnih institucija. </w:t>
            </w:r>
          </w:p>
          <w:p w:rsidR="00305A72" w:rsidRDefault="00305A72" w:rsidP="00305A72">
            <w:pPr>
              <w:ind w:left="360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</w:p>
          <w:p w:rsidR="00305A72" w:rsidRPr="00305A72" w:rsidRDefault="00305A72" w:rsidP="00305A72">
            <w:pPr>
              <w:ind w:left="360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</w:tr>
    </w:tbl>
    <w:p w:rsidR="00676AA5" w:rsidRPr="00305A72" w:rsidRDefault="00676AA5" w:rsidP="004C6B28">
      <w:pPr>
        <w:rPr>
          <w:color w:val="000000" w:themeColor="text1"/>
          <w:lang w:val="en-US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877"/>
        <w:gridCol w:w="9421"/>
      </w:tblGrid>
      <w:tr w:rsidR="00305A72" w:rsidRPr="00305A72" w:rsidTr="009C307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CFFFF"/>
          </w:tcPr>
          <w:p w:rsidR="00935638" w:rsidRPr="00305A72" w:rsidRDefault="00935638" w:rsidP="00E546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AKTIVNOST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CCFFFF"/>
          </w:tcPr>
          <w:p w:rsidR="00935638" w:rsidRPr="00305A72" w:rsidRDefault="00935638" w:rsidP="00E546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PARAMETAR</w:t>
            </w:r>
          </w:p>
        </w:tc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CCFFFF"/>
          </w:tcPr>
          <w:p w:rsidR="00935638" w:rsidRPr="00305A72" w:rsidRDefault="00935638" w:rsidP="00E546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SPISAK MJERA UBLAŽAVANJA</w:t>
            </w:r>
          </w:p>
        </w:tc>
      </w:tr>
      <w:tr w:rsidR="00305A72" w:rsidRPr="00305A72" w:rsidTr="009C307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28" w:rsidRPr="00305A72" w:rsidRDefault="00AF3030" w:rsidP="009C58D9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D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. </w:t>
            </w:r>
            <w:r w:rsidR="009C58D9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Nabavka zemljišta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D74E4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Plan ili okvirni dokument za eksproprijaciju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0A4" w:rsidRPr="00305A72" w:rsidRDefault="008840A4" w:rsidP="00B46C1D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U slučaju da se eksproprijacija zemljišta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ili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objekata nije očekivala, ali je potrebna, te ako se radovima spriječava upotreba ili pristup zemljištu bilo da se radi o pravnim ili bespravnim korisnicima, Rukovodioc projekta u ime Svjetske Banke će se odmah obavijestiti.</w:t>
            </w:r>
          </w:p>
          <w:p w:rsidR="004C6B28" w:rsidRPr="00305A72" w:rsidRDefault="008840A4" w:rsidP="008840A4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Radovi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nastaviti tek nakon što se implementira odobreni Plan ili Okvirni dokument za eksproprijaciju. </w:t>
            </w:r>
          </w:p>
        </w:tc>
      </w:tr>
      <w:tr w:rsidR="00305A72" w:rsidRPr="00305A72" w:rsidTr="009C307C"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6B28" w:rsidRPr="00305A72" w:rsidRDefault="00AF3030" w:rsidP="00D74E42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E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. </w:t>
            </w:r>
            <w:r w:rsidR="00D74E42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Toksični materijali</w:t>
            </w:r>
          </w:p>
        </w:tc>
        <w:tc>
          <w:tcPr>
            <w:tcW w:w="71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6B28" w:rsidRPr="00305A72" w:rsidRDefault="00D74E4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Upravljanje azbestom</w:t>
            </w:r>
          </w:p>
        </w:tc>
        <w:tc>
          <w:tcPr>
            <w:tcW w:w="35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840A4" w:rsidRPr="00305A72" w:rsidRDefault="008840A4" w:rsidP="00B46C1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U slučaju da se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na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gradilištu nalazi azbest, bit će jasno obilježen kao opasni material.</w:t>
            </w:r>
          </w:p>
          <w:p w:rsidR="008840A4" w:rsidRPr="00305A72" w:rsidRDefault="008840A4" w:rsidP="00B46C1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Po mogućnosti, azbest će se adekvatno skladištiti i hermetički zatvoriti, na način koji će smanjiti izloženost istom</w:t>
            </w:r>
          </w:p>
          <w:p w:rsidR="008840A4" w:rsidRPr="00305A72" w:rsidRDefault="008840A4" w:rsidP="00B46C1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Prije </w:t>
            </w:r>
            <w:r w:rsidR="00E124D7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uklanjanja azbesta (ako je to potrebno)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, isti će biti ovlažen kako bi se spriječilo rasipanje azbestne prašine</w:t>
            </w:r>
          </w:p>
          <w:p w:rsidR="008840A4" w:rsidRPr="00305A72" w:rsidRDefault="00E124D7" w:rsidP="00B46C1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Radove na uklanjanju azbesta će vršiti samo ovlašteni radnici</w:t>
            </w:r>
          </w:p>
          <w:p w:rsidR="00E124D7" w:rsidRPr="00305A72" w:rsidRDefault="00E124D7" w:rsidP="00B46C1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Ako se privremeno skladišti azbest, isti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se čuvati unutar hermetički zatvorenih posuda koje su jasno obilježene. Sigurnosne mjere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će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spriječiti neovlašteno odnošenje ovih posuda sa područja.</w:t>
            </w:r>
          </w:p>
          <w:p w:rsidR="004C6B28" w:rsidRPr="00305A72" w:rsidRDefault="00E124D7" w:rsidP="00E124D7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Azbest koji se ukloni neće biti ponovno korišten. </w:t>
            </w:r>
          </w:p>
        </w:tc>
      </w:tr>
      <w:tr w:rsidR="00305A72" w:rsidRPr="00305A72" w:rsidTr="009C307C">
        <w:tc>
          <w:tcPr>
            <w:tcW w:w="720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C6B28" w:rsidRPr="00305A72" w:rsidRDefault="004C6B28" w:rsidP="00B46C1D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71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D74E4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Upravljanje toksičnim i opasnim materijalima</w:t>
            </w:r>
          </w:p>
        </w:tc>
        <w:tc>
          <w:tcPr>
            <w:tcW w:w="35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124D7" w:rsidRPr="00305A72" w:rsidRDefault="00E124D7" w:rsidP="00B46C1D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Privremeno skladištenje svih opasnih i toksičnih materija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na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lokaciji će se vršiti u sigurnim posudama, jasno obilježenim sa sastavom materije, svojstvima i načinom rukovanja istim.</w:t>
            </w:r>
          </w:p>
          <w:p w:rsidR="00E124D7" w:rsidRPr="00305A72" w:rsidRDefault="00E124D7" w:rsidP="00B46C1D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Posude koje sadrže toksične i opasne materije bit će skladištene na način na koji će se spriječiti i ograničiti curenje iz istih</w:t>
            </w:r>
          </w:p>
          <w:p w:rsidR="00E124D7" w:rsidRPr="00305A72" w:rsidRDefault="00E124D7" w:rsidP="00B46C1D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Otpad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od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ove vrste materijala će se zbrinuti putem ovlaštenih institucija.</w:t>
            </w:r>
          </w:p>
          <w:p w:rsidR="004C6B28" w:rsidRPr="00305A72" w:rsidRDefault="00E124D7" w:rsidP="00E124D7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Farba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opasnim materijama ili razrijeđivači kao i boje koje sadrže olovo se ne smiju koristiti. </w:t>
            </w:r>
          </w:p>
        </w:tc>
      </w:tr>
      <w:tr w:rsidR="00305A72" w:rsidRPr="00305A72" w:rsidTr="009C307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28" w:rsidRPr="00305A72" w:rsidRDefault="00AF3030" w:rsidP="00D74E42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F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. </w:t>
            </w:r>
            <w:r w:rsidR="00D74E42" w:rsidRPr="00305A72">
              <w:rPr>
                <w:rFonts w:ascii="Arial" w:hAnsi="Arial" w:cs="Arial"/>
                <w:color w:val="000000" w:themeColor="text1"/>
                <w:sz w:val="17"/>
                <w:szCs w:val="17"/>
              </w:rPr>
              <w:t>Uticaj na šume, močvarna područja ili zaštićena područja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D74E4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Zaštita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07C" w:rsidRPr="00305A72" w:rsidRDefault="009C307C" w:rsidP="00B46C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Svi identifikovani prirodni habitati i zaštićena područja u okruženju gradilišta neće biti oštećeni, korišteni, te će radnicima izričito biti zabranjeno da se bave lovom, sječom drveća ili drugim aktivnostima koje nanose štetu</w:t>
            </w:r>
          </w:p>
          <w:p w:rsidR="009C307C" w:rsidRPr="00305A72" w:rsidRDefault="009C307C" w:rsidP="00B46C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Obližnje močvare i potoci će biti zaštićeni od voda koje se slijevaju sa gradilišta sa adekvatnim mehanizmima zaštite erozije i nanosa</w:t>
            </w:r>
          </w:p>
          <w:p w:rsidR="004C6B28" w:rsidRPr="00305A72" w:rsidRDefault="009C307C" w:rsidP="009C307C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Neće biti eksplatacije šljunka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ili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kamena, niti odlaganja otpada u obližnjim područjima, posebno ako su ta područja zaštićena. </w:t>
            </w:r>
          </w:p>
        </w:tc>
      </w:tr>
      <w:tr w:rsidR="00305A72" w:rsidRPr="00305A72" w:rsidTr="009C307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28" w:rsidRPr="00305A72" w:rsidRDefault="00AF3030" w:rsidP="00B46C1D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G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. </w:t>
            </w:r>
            <w:r w:rsidR="00D74E42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Rukovanje medicinskim otpadom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D74E4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Infrastruktura za zbrinjavanje medicinskog otpada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07C" w:rsidRPr="00305A72" w:rsidRDefault="009C307C" w:rsidP="00B46C1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U skladu sa lokalnim zakonodavstvom, izdatim dozvolama i odobrenjima, novosagrađeni ili obnovljeni centri za pružanje zdravstvene zaštite će sadržavati adekvatnu infrastrukturu za upravljanje medicinskim otpadom i zbrinjavanje istog, što uključuje :</w:t>
            </w:r>
          </w:p>
          <w:p w:rsidR="009C307C" w:rsidRPr="00305A72" w:rsidRDefault="009C307C" w:rsidP="00B46C1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Posebne instalacije za razdvajanje otpada (korišteni instrumenti, oštri predmeti, tkivo i tečnosti) od drugih vrsta otpada, i</w:t>
            </w:r>
          </w:p>
          <w:p w:rsidR="009C307C" w:rsidRPr="00305A72" w:rsidRDefault="009C307C" w:rsidP="00B46C1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Prikladno skladišteza privremeno čuvanje ove vrste otpada, i</w:t>
            </w:r>
          </w:p>
          <w:p w:rsidR="004C6B28" w:rsidRPr="00305A72" w:rsidRDefault="009C307C" w:rsidP="009C307C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Ako aktivnost obuhvata zbrinjavanje na licu mjesta, adekvatne načine odlaganja otpada kao i operativne mjere koje su potrebne </w:t>
            </w:r>
          </w:p>
        </w:tc>
      </w:tr>
      <w:tr w:rsidR="00305A72" w:rsidRPr="00305A72" w:rsidTr="009C307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28" w:rsidRPr="00305A72" w:rsidRDefault="00AF3030" w:rsidP="00D74E42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 xml:space="preserve">H </w:t>
            </w:r>
            <w:r w:rsidR="00D74E42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Sigurnost saobraćaja i pješaka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D74E42" w:rsidP="00D74E42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Direktna ili indirektna opasnost po javni saobraćaj ili pješake od izvođenja građevinskih radova 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07C" w:rsidRPr="00305A72" w:rsidRDefault="009C307C" w:rsidP="00B46C1D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U skladu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sa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lokalnim zakonodavrstvom, izvođač radova će osigurati da je loakcija osigurana, jasno obilježena i das u putni pravci prema lokaciji jasno obilježeni sa znakovima upozorenja, te da se saobraćaj pravilno usmjerava. Što znači:</w:t>
            </w:r>
          </w:p>
          <w:p w:rsidR="009C307C" w:rsidRPr="00305A72" w:rsidRDefault="009C307C" w:rsidP="00B46C1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Postavljanje znakova upozorenja, barijere, lokacija jasno označena i javnost upozorena</w:t>
            </w:r>
          </w:p>
          <w:p w:rsidR="009C307C" w:rsidRPr="00305A72" w:rsidRDefault="009C307C" w:rsidP="00B46C1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Upravljanje saobraćajem i obuka radnika, posebno za lokacije koje se nalaze uz frekventne prometnice. </w:t>
            </w:r>
            <w:r w:rsidR="008357B4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Osigurati sigurne prolaze i prelaze za pješake. </w:t>
            </w:r>
          </w:p>
          <w:p w:rsidR="008357B4" w:rsidRPr="00305A72" w:rsidRDefault="008357B4" w:rsidP="00B46C1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Uskladiti radnu dinamiku tako da se radovi tj.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transport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ne vrši za vrijeme gustog saobraćaja. </w:t>
            </w:r>
          </w:p>
          <w:p w:rsidR="008357B4" w:rsidRPr="00305A72" w:rsidRDefault="008357B4" w:rsidP="00B46C1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Aktivno preusmjeravanje saobraćaja </w:t>
            </w:r>
            <w:proofErr w:type="gramStart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od</w:t>
            </w:r>
            <w:proofErr w:type="gramEnd"/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strane obučenih radnika. </w:t>
            </w:r>
          </w:p>
          <w:p w:rsidR="004C6B28" w:rsidRPr="00305A72" w:rsidRDefault="008357B4" w:rsidP="008357B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Osigurati sigurni pristup zgradama u blizini, posebno ako se radi o komercijalnim subjektima. </w:t>
            </w:r>
          </w:p>
        </w:tc>
      </w:tr>
      <w:tr w:rsidR="004C6B28" w:rsidRPr="00305A72" w:rsidTr="009C307C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C6B28" w:rsidRPr="00305A72" w:rsidRDefault="00AF3030" w:rsidP="00D74E42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US"/>
              </w:rPr>
              <w:t>I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. </w:t>
            </w:r>
            <w:r w:rsidR="00D74E42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Istraživanje lokacije i izvođenje radova</w:t>
            </w: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6B28" w:rsidRPr="00305A72" w:rsidRDefault="00D74E42" w:rsidP="00B46C1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Zaštita okoliša i prirode </w:t>
            </w:r>
          </w:p>
        </w:tc>
        <w:tc>
          <w:tcPr>
            <w:tcW w:w="3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B28" w:rsidRPr="00305A72" w:rsidRDefault="00265300" w:rsidP="00B46C1D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Smanjiti broj radnika i automobila/vozila na terenu</w:t>
            </w:r>
          </w:p>
          <w:p w:rsidR="00265300" w:rsidRPr="00305A72" w:rsidRDefault="00265300" w:rsidP="00B46C1D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Držati se postojećih saobraćajnica i puteva koliko je to moguće,</w:t>
            </w:r>
          </w:p>
          <w:p w:rsidR="00265300" w:rsidRPr="00305A72" w:rsidRDefault="00265300" w:rsidP="00B46C1D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Prikupiti i zbrinuti sav otpad nakon završetka radova</w:t>
            </w:r>
          </w:p>
          <w:p w:rsidR="004C6B28" w:rsidRPr="00305A72" w:rsidRDefault="00265300" w:rsidP="009C307C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Izvršiti sigurnosno preusmjeravanje</w:t>
            </w:r>
            <w:r w:rsidR="009C307C" w:rsidRPr="00305A72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 xml:space="preserve"> radnika, prolaznika i drugih prilikom izvođenja radova koji su opasni (kao što je miniranje i korištenje eksplozivnih materija). </w:t>
            </w:r>
          </w:p>
        </w:tc>
      </w:tr>
    </w:tbl>
    <w:p w:rsidR="00A203EC" w:rsidRPr="00305A72" w:rsidRDefault="00A203EC" w:rsidP="00AD4161">
      <w:pPr>
        <w:rPr>
          <w:color w:val="000000" w:themeColor="text1"/>
          <w:lang w:val="en-US"/>
        </w:rPr>
      </w:pPr>
    </w:p>
    <w:p w:rsidR="009C307C" w:rsidRPr="00305A72" w:rsidRDefault="009C307C" w:rsidP="00AD4161">
      <w:pPr>
        <w:rPr>
          <w:color w:val="000000" w:themeColor="text1"/>
          <w:lang w:val="en-US"/>
        </w:rPr>
      </w:pPr>
    </w:p>
    <w:p w:rsidR="008357B4" w:rsidRPr="00305A72" w:rsidRDefault="008357B4" w:rsidP="00AD4161">
      <w:pPr>
        <w:rPr>
          <w:color w:val="000000" w:themeColor="text1"/>
          <w:lang w:val="en-US"/>
        </w:rPr>
      </w:pPr>
    </w:p>
    <w:p w:rsidR="008357B4" w:rsidRPr="00305A72" w:rsidRDefault="008357B4" w:rsidP="00AD4161">
      <w:pPr>
        <w:rPr>
          <w:color w:val="000000" w:themeColor="text1"/>
          <w:lang w:val="en-US"/>
        </w:rPr>
      </w:pPr>
    </w:p>
    <w:p w:rsidR="008357B4" w:rsidRPr="00305A72" w:rsidRDefault="008357B4" w:rsidP="00AD4161">
      <w:pPr>
        <w:rPr>
          <w:color w:val="000000" w:themeColor="text1"/>
          <w:lang w:val="en-US"/>
        </w:rPr>
      </w:pPr>
    </w:p>
    <w:p w:rsidR="003065F8" w:rsidRPr="00305A72" w:rsidRDefault="00AF3030" w:rsidP="00E130A5">
      <w:pPr>
        <w:rPr>
          <w:b/>
          <w:bCs/>
          <w:color w:val="000000" w:themeColor="text1"/>
          <w:lang w:val="en-US"/>
        </w:rPr>
      </w:pPr>
      <w:r w:rsidRPr="00305A72">
        <w:rPr>
          <w:b/>
          <w:color w:val="000000" w:themeColor="text1"/>
          <w:lang w:val="en-US"/>
        </w:rPr>
        <w:t>D)</w:t>
      </w:r>
      <w:r w:rsidRPr="00305A72">
        <w:rPr>
          <w:b/>
          <w:snapToGrid w:val="0"/>
          <w:color w:val="000000" w:themeColor="text1"/>
          <w:lang w:val="en-US"/>
        </w:rPr>
        <w:t xml:space="preserve"> </w:t>
      </w:r>
      <w:r w:rsidR="00EC0845" w:rsidRPr="00305A72">
        <w:rPr>
          <w:b/>
          <w:snapToGrid w:val="0"/>
          <w:color w:val="000000" w:themeColor="text1"/>
          <w:lang w:val="en-US"/>
        </w:rPr>
        <w:t>PLAN OKOLINSKOG NADZORA (MONITORING PLAN</w:t>
      </w:r>
      <w:r w:rsidR="00305A72">
        <w:rPr>
          <w:b/>
          <w:snapToGrid w:val="0"/>
          <w:color w:val="000000" w:themeColor="text1"/>
          <w:lang w:val="en-US"/>
        </w:rPr>
        <w:t xml:space="preserve"> – NACRT DOPUNITI PO POTREBI</w:t>
      </w:r>
      <w:r w:rsidR="00EC0845" w:rsidRPr="00305A72">
        <w:rPr>
          <w:b/>
          <w:snapToGrid w:val="0"/>
          <w:color w:val="000000" w:themeColor="text1"/>
          <w:lang w:val="en-US"/>
        </w:rPr>
        <w:t>)</w:t>
      </w:r>
    </w:p>
    <w:tbl>
      <w:tblPr>
        <w:tblW w:w="1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800"/>
        <w:gridCol w:w="1800"/>
        <w:gridCol w:w="1647"/>
        <w:gridCol w:w="1647"/>
        <w:gridCol w:w="1647"/>
        <w:gridCol w:w="1647"/>
        <w:gridCol w:w="1647"/>
      </w:tblGrid>
      <w:tr w:rsidR="00305A72" w:rsidRPr="00305A72" w:rsidTr="00F36EDC">
        <w:tc>
          <w:tcPr>
            <w:tcW w:w="1998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Faza rada</w:t>
            </w:r>
          </w:p>
        </w:tc>
        <w:tc>
          <w:tcPr>
            <w:tcW w:w="1800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ŠTA</w:t>
            </w:r>
          </w:p>
          <w:p w:rsidR="00E31F77" w:rsidRPr="00305A72" w:rsidRDefault="00AF3030" w:rsidP="008357B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>koji</w:t>
            </w:r>
            <w:proofErr w:type="gramEnd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se parametar nadgleda?)</w:t>
            </w:r>
          </w:p>
        </w:tc>
        <w:tc>
          <w:tcPr>
            <w:tcW w:w="1800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GDJE</w:t>
            </w:r>
          </w:p>
          <w:p w:rsidR="00E31F77" w:rsidRPr="00305A72" w:rsidRDefault="00AF3030" w:rsidP="008357B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gramEnd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kojoj se lokaciji parametar nadgleda?)</w:t>
            </w:r>
          </w:p>
        </w:tc>
        <w:tc>
          <w:tcPr>
            <w:tcW w:w="1647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KAKO</w:t>
            </w:r>
          </w:p>
          <w:p w:rsidR="00E31F77" w:rsidRPr="00305A72" w:rsidRDefault="00AF3030" w:rsidP="008357B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gramEnd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koji način se parametar nadgleda?)</w:t>
            </w:r>
          </w:p>
        </w:tc>
        <w:tc>
          <w:tcPr>
            <w:tcW w:w="1647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KADA</w:t>
            </w:r>
          </w:p>
          <w:p w:rsidR="00E31F77" w:rsidRPr="00305A72" w:rsidRDefault="00AF3030" w:rsidP="008357B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>Koja je frekvencija mjerenja/ nadzora?)</w:t>
            </w:r>
          </w:p>
        </w:tc>
        <w:tc>
          <w:tcPr>
            <w:tcW w:w="1647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ZAŠTO</w:t>
            </w:r>
          </w:p>
          <w:p w:rsidR="00E31F77" w:rsidRPr="00305A72" w:rsidRDefault="00AF3030" w:rsidP="008357B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>se</w:t>
            </w:r>
            <w:proofErr w:type="gramEnd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ovaj parametar nadgleda?)</w:t>
            </w:r>
          </w:p>
        </w:tc>
        <w:tc>
          <w:tcPr>
            <w:tcW w:w="1647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TROŠKOVI</w:t>
            </w:r>
          </w:p>
          <w:p w:rsidR="00E31F77" w:rsidRPr="00305A72" w:rsidRDefault="008357B4" w:rsidP="008357B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(ako nisu uključeni u projekat)</w:t>
            </w:r>
          </w:p>
        </w:tc>
        <w:tc>
          <w:tcPr>
            <w:tcW w:w="1647" w:type="dxa"/>
            <w:shd w:val="pct5" w:color="auto" w:fill="CCFFFF"/>
            <w:vAlign w:val="center"/>
          </w:tcPr>
          <w:p w:rsidR="00E31F77" w:rsidRPr="00305A72" w:rsidRDefault="008357B4" w:rsidP="00782BD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>KO</w:t>
            </w:r>
          </w:p>
          <w:p w:rsidR="00E31F77" w:rsidRPr="00305A72" w:rsidRDefault="00AF3030" w:rsidP="008357B4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>je</w:t>
            </w:r>
            <w:proofErr w:type="gramEnd"/>
            <w:r w:rsidR="008357B4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odgovoran za nadzor?)</w:t>
            </w:r>
          </w:p>
        </w:tc>
      </w:tr>
      <w:tr w:rsidR="00305A72" w:rsidRPr="00305A72" w:rsidTr="00F36EDC">
        <w:tc>
          <w:tcPr>
            <w:tcW w:w="1998" w:type="dxa"/>
            <w:vAlign w:val="center"/>
          </w:tcPr>
          <w:p w:rsidR="004603C8" w:rsidRPr="00305A72" w:rsidRDefault="008357B4" w:rsidP="008357B4">
            <w:pPr>
              <w:spacing w:before="120" w:after="12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U toku 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pripreme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aktivnosti </w:t>
            </w:r>
          </w:p>
        </w:tc>
        <w:tc>
          <w:tcPr>
            <w:tcW w:w="1800" w:type="dxa"/>
            <w:vAlign w:val="center"/>
          </w:tcPr>
          <w:p w:rsidR="004603C8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Pristup gradilištu</w:t>
            </w:r>
          </w:p>
          <w:p w:rsidR="008357B4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8357B4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Dostupnost načina za zbrinjavanje otpada</w:t>
            </w:r>
          </w:p>
          <w:p w:rsidR="008357B4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603C8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Obavještavanje javnosti i osiguran pristup radnicima </w:t>
            </w:r>
          </w:p>
        </w:tc>
        <w:tc>
          <w:tcPr>
            <w:tcW w:w="1800" w:type="dxa"/>
            <w:vAlign w:val="center"/>
          </w:tcPr>
          <w:p w:rsidR="004603C8" w:rsidRPr="00305A72" w:rsidRDefault="008357B4" w:rsidP="00AB3E85">
            <w:pPr>
              <w:spacing w:before="120" w:after="12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Na lokaciji gradilišta </w:t>
            </w:r>
          </w:p>
        </w:tc>
        <w:tc>
          <w:tcPr>
            <w:tcW w:w="1647" w:type="dxa"/>
            <w:vAlign w:val="center"/>
          </w:tcPr>
          <w:p w:rsidR="004603C8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Provjeriti projekat i uporediti sa stanjem na terenu</w:t>
            </w:r>
            <w:r w:rsidR="00AF3030"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603C8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Prije početka radova</w:t>
            </w:r>
          </w:p>
        </w:tc>
        <w:tc>
          <w:tcPr>
            <w:tcW w:w="1647" w:type="dxa"/>
            <w:vAlign w:val="center"/>
          </w:tcPr>
          <w:p w:rsidR="004603C8" w:rsidRPr="00305A72" w:rsidRDefault="008357B4" w:rsidP="008357B4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Opšta sigurnost građana, pravovremeno otkrivanje mogućih zastoja u zbrinjavanju otpada </w:t>
            </w:r>
          </w:p>
        </w:tc>
        <w:tc>
          <w:tcPr>
            <w:tcW w:w="1647" w:type="dxa"/>
            <w:vAlign w:val="center"/>
          </w:tcPr>
          <w:p w:rsidR="004603C8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Marginalni troškovi, obuhvaćeni u predmjeru radova </w:t>
            </w:r>
          </w:p>
        </w:tc>
        <w:tc>
          <w:tcPr>
            <w:tcW w:w="1647" w:type="dxa"/>
            <w:vAlign w:val="center"/>
          </w:tcPr>
          <w:p w:rsidR="004603C8" w:rsidRPr="00305A72" w:rsidRDefault="008357B4" w:rsidP="00717B6F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Podugovarač</w:t>
            </w:r>
            <w:r w:rsidR="00AF3030" w:rsidRPr="00305A72">
              <w:rPr>
                <w:color w:val="000000" w:themeColor="text1"/>
                <w:sz w:val="16"/>
                <w:szCs w:val="16"/>
                <w:lang w:val="en-US"/>
              </w:rPr>
              <w:t>,</w:t>
            </w: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7B6F">
              <w:rPr>
                <w:color w:val="000000" w:themeColor="text1"/>
                <w:sz w:val="16"/>
                <w:szCs w:val="16"/>
                <w:lang w:val="en-US"/>
              </w:rPr>
              <w:t>SB</w:t>
            </w: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305A72" w:rsidRPr="00305A72" w:rsidTr="00F36EDC">
        <w:tc>
          <w:tcPr>
            <w:tcW w:w="1998" w:type="dxa"/>
            <w:vAlign w:val="center"/>
          </w:tcPr>
          <w:p w:rsidR="004603C8" w:rsidRPr="00305A72" w:rsidRDefault="008357B4" w:rsidP="008357B4">
            <w:pPr>
              <w:spacing w:before="120" w:after="12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U toku  </w:t>
            </w: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provođenja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aktivnosti</w:t>
            </w:r>
          </w:p>
        </w:tc>
        <w:tc>
          <w:tcPr>
            <w:tcW w:w="1800" w:type="dxa"/>
            <w:vAlign w:val="center"/>
          </w:tcPr>
          <w:p w:rsidR="004C3000" w:rsidRPr="00305A72" w:rsidRDefault="00F36EDC" w:rsidP="004C3000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AF3030" w:rsidRPr="00305A72">
              <w:rPr>
                <w:color w:val="000000" w:themeColor="text1"/>
                <w:sz w:val="16"/>
                <w:lang w:val="en-US"/>
              </w:rPr>
              <w:t xml:space="preserve">(a) </w:t>
            </w:r>
            <w:r w:rsidRPr="00305A72">
              <w:rPr>
                <w:color w:val="000000" w:themeColor="text1"/>
                <w:sz w:val="16"/>
                <w:lang w:val="en-US"/>
              </w:rPr>
              <w:t xml:space="preserve">Građevinski otpad i iskopani materijali </w:t>
            </w:r>
          </w:p>
          <w:p w:rsidR="004C3000" w:rsidRPr="00305A72" w:rsidRDefault="004C3000" w:rsidP="004C300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C3000" w:rsidRPr="00305A72" w:rsidRDefault="00AF3030" w:rsidP="004C300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(b) </w:t>
            </w:r>
            <w:r w:rsidR="00F36EDC" w:rsidRPr="00305A72">
              <w:rPr>
                <w:color w:val="000000" w:themeColor="text1"/>
                <w:sz w:val="16"/>
                <w:szCs w:val="16"/>
                <w:lang w:val="en-US"/>
              </w:rPr>
              <w:t>Čvrsti otpad</w:t>
            </w:r>
          </w:p>
          <w:p w:rsidR="002F7AD4" w:rsidRPr="00305A72" w:rsidRDefault="002F7AD4" w:rsidP="004C300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8C2897" w:rsidRPr="00305A72" w:rsidRDefault="008C2897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F36EDC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F36EDC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603C8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Tečni otpad i otpadne vode</w:t>
            </w:r>
          </w:p>
          <w:p w:rsidR="00F36EDC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Narušavanje prirodnog okoliša</w:t>
            </w:r>
          </w:p>
          <w:p w:rsidR="00F36EDC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603C8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Sigurnost prolaznika i radnika</w:t>
            </w:r>
          </w:p>
        </w:tc>
        <w:tc>
          <w:tcPr>
            <w:tcW w:w="1800" w:type="dxa"/>
          </w:tcPr>
          <w:p w:rsidR="004C3000" w:rsidRPr="00305A72" w:rsidRDefault="00F36EDC" w:rsidP="00F36EDC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(a) Na ovlaštenim i određenim lokacijama, Iskoristiti materijal u graševinske svrhe što je više moguće  </w:t>
            </w:r>
          </w:p>
          <w:p w:rsidR="00F36EDC" w:rsidRPr="00305A72" w:rsidRDefault="00F36EDC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4C3000" w:rsidRPr="00305A72" w:rsidRDefault="00AF3030" w:rsidP="00F36EDC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(b) </w:t>
            </w:r>
            <w:r w:rsidR="00F36EDC" w:rsidRPr="00305A72">
              <w:rPr>
                <w:color w:val="000000" w:themeColor="text1"/>
                <w:sz w:val="16"/>
                <w:lang w:val="en-US"/>
              </w:rPr>
              <w:t>Na određenim deponijama, po mogućnosti sanitarnim</w:t>
            </w:r>
          </w:p>
          <w:p w:rsidR="004C3000" w:rsidRPr="00305A72" w:rsidRDefault="004C3000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F36EDC" w:rsidRPr="00305A72" w:rsidRDefault="00F36EDC" w:rsidP="00F36EDC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F36EDC" w:rsidRPr="00305A72" w:rsidRDefault="00F36EDC" w:rsidP="00F36EDC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603C8" w:rsidRPr="00305A72" w:rsidRDefault="008357B4" w:rsidP="00F36EDC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Na lokaciji gradilišta</w:t>
            </w:r>
          </w:p>
        </w:tc>
        <w:tc>
          <w:tcPr>
            <w:tcW w:w="1647" w:type="dxa"/>
          </w:tcPr>
          <w:p w:rsidR="00F36EDC" w:rsidRPr="00305A72" w:rsidRDefault="00F36EDC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4C3000" w:rsidRPr="00305A72" w:rsidRDefault="00AF3030" w:rsidP="00F36EDC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a) </w:t>
            </w:r>
            <w:r w:rsidR="008357B4" w:rsidRPr="00305A72">
              <w:rPr>
                <w:color w:val="000000" w:themeColor="text1"/>
                <w:sz w:val="16"/>
                <w:lang w:val="en-US"/>
              </w:rPr>
              <w:t>Putem redovnog nadzora</w:t>
            </w:r>
          </w:p>
          <w:p w:rsidR="004C3000" w:rsidRPr="00305A72" w:rsidRDefault="004C3000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F36EDC" w:rsidRPr="00305A72" w:rsidRDefault="00F36EDC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F36EDC" w:rsidRPr="00305A72" w:rsidRDefault="00F36EDC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4C3000" w:rsidRPr="00305A72" w:rsidRDefault="00AF3030" w:rsidP="00F36EDC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(b) </w:t>
            </w:r>
            <w:r w:rsidR="008357B4" w:rsidRPr="00305A72">
              <w:rPr>
                <w:color w:val="000000" w:themeColor="text1"/>
                <w:sz w:val="16"/>
                <w:lang w:val="en-US"/>
              </w:rPr>
              <w:t>Putem redovnog nadzora</w:t>
            </w:r>
          </w:p>
          <w:p w:rsidR="002F7AD4" w:rsidRPr="00305A72" w:rsidRDefault="002F7AD4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0A6BD6" w:rsidRPr="00305A72" w:rsidRDefault="000A6BD6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F36EDC" w:rsidRPr="00305A72" w:rsidRDefault="00F36EDC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F36EDC" w:rsidRPr="00305A72" w:rsidRDefault="00F36EDC" w:rsidP="00F36EDC">
            <w:pPr>
              <w:rPr>
                <w:color w:val="000000" w:themeColor="text1"/>
                <w:sz w:val="16"/>
                <w:lang w:val="en-US"/>
              </w:rPr>
            </w:pPr>
          </w:p>
          <w:p w:rsidR="004603C8" w:rsidRPr="00305A72" w:rsidRDefault="008357B4" w:rsidP="00F36EDC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Vizuelno, putem dnevnika</w:t>
            </w:r>
          </w:p>
          <w:p w:rsidR="004603C8" w:rsidRPr="00305A72" w:rsidRDefault="008357B4" w:rsidP="00F36EDC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Vizuelno</w:t>
            </w:r>
          </w:p>
        </w:tc>
        <w:tc>
          <w:tcPr>
            <w:tcW w:w="1647" w:type="dxa"/>
          </w:tcPr>
          <w:p w:rsidR="008357B4" w:rsidRPr="00305A72" w:rsidRDefault="008357B4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8357B4" w:rsidRPr="00305A72" w:rsidRDefault="008357B4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6A5FD2" w:rsidRPr="00305A72" w:rsidRDefault="00AF3030" w:rsidP="008357B4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(a) </w:t>
            </w:r>
            <w:r w:rsidR="008357B4" w:rsidRPr="00305A72">
              <w:rPr>
                <w:color w:val="000000" w:themeColor="text1"/>
                <w:sz w:val="16"/>
                <w:lang w:val="en-US"/>
              </w:rPr>
              <w:t xml:space="preserve">Prilikom zbrinjavanja otpada </w:t>
            </w:r>
          </w:p>
          <w:p w:rsidR="006A5FD2" w:rsidRPr="00305A72" w:rsidRDefault="006A5FD2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6A5FD2" w:rsidRPr="00305A72" w:rsidRDefault="00AF3030" w:rsidP="008357B4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(b) </w:t>
            </w:r>
            <w:r w:rsidR="008357B4" w:rsidRPr="00305A72">
              <w:rPr>
                <w:color w:val="000000" w:themeColor="text1"/>
                <w:sz w:val="16"/>
                <w:lang w:val="en-US"/>
              </w:rPr>
              <w:t>Prilikom zbrinjavanja otpada</w:t>
            </w:r>
          </w:p>
          <w:p w:rsidR="000A6BD6" w:rsidRPr="00305A72" w:rsidRDefault="000A6BD6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0A6BD6" w:rsidRPr="00305A72" w:rsidRDefault="000A6BD6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6A5FD2" w:rsidRPr="00305A72" w:rsidRDefault="006A5FD2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6A5FD2" w:rsidRPr="00305A72" w:rsidRDefault="006A5FD2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F36EDC" w:rsidRPr="00305A72" w:rsidRDefault="00F36EDC" w:rsidP="008357B4">
            <w:pPr>
              <w:rPr>
                <w:color w:val="000000" w:themeColor="text1"/>
                <w:sz w:val="16"/>
                <w:lang w:val="en-US"/>
              </w:rPr>
            </w:pPr>
          </w:p>
          <w:p w:rsidR="004603C8" w:rsidRPr="00305A72" w:rsidRDefault="008357B4" w:rsidP="008357B4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Svakodnevno u trajanju aktivnosti</w:t>
            </w:r>
          </w:p>
        </w:tc>
        <w:tc>
          <w:tcPr>
            <w:tcW w:w="1647" w:type="dxa"/>
            <w:vAlign w:val="center"/>
          </w:tcPr>
          <w:p w:rsidR="006A5FD2" w:rsidRPr="00305A72" w:rsidRDefault="006A5FD2" w:rsidP="006A5FD2">
            <w:pPr>
              <w:spacing w:after="120"/>
              <w:rPr>
                <w:color w:val="000000" w:themeColor="text1"/>
                <w:sz w:val="16"/>
                <w:lang w:val="en-US"/>
              </w:rPr>
            </w:pPr>
          </w:p>
          <w:p w:rsidR="006A5FD2" w:rsidRPr="00305A72" w:rsidRDefault="00AF3030" w:rsidP="006A5FD2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(a) </w:t>
            </w:r>
            <w:r w:rsidR="00F36EDC" w:rsidRPr="00305A72">
              <w:rPr>
                <w:color w:val="000000" w:themeColor="text1"/>
                <w:sz w:val="16"/>
                <w:lang w:val="en-US"/>
              </w:rPr>
              <w:t xml:space="preserve">Osigurati pravilno odlaganje opasnih materijala </w:t>
            </w:r>
          </w:p>
          <w:p w:rsidR="006A5FD2" w:rsidRPr="00305A72" w:rsidRDefault="006A5FD2" w:rsidP="006A5FD2">
            <w:pPr>
              <w:rPr>
                <w:color w:val="000000" w:themeColor="text1"/>
                <w:sz w:val="16"/>
                <w:lang w:val="en-US"/>
              </w:rPr>
            </w:pPr>
          </w:p>
          <w:p w:rsidR="006A5FD2" w:rsidRPr="00305A72" w:rsidRDefault="00AF3030" w:rsidP="006A5FD2">
            <w:pPr>
              <w:rPr>
                <w:color w:val="000000" w:themeColor="text1"/>
                <w:sz w:val="16"/>
                <w:lang w:val="en-US"/>
              </w:rPr>
            </w:pPr>
            <w:r w:rsidRPr="00305A72">
              <w:rPr>
                <w:color w:val="000000" w:themeColor="text1"/>
                <w:sz w:val="16"/>
                <w:lang w:val="en-US"/>
              </w:rPr>
              <w:t xml:space="preserve">(b) </w:t>
            </w:r>
            <w:r w:rsidR="00F36EDC" w:rsidRPr="00305A72">
              <w:rPr>
                <w:color w:val="000000" w:themeColor="text1"/>
                <w:sz w:val="16"/>
                <w:lang w:val="en-US"/>
              </w:rPr>
              <w:t xml:space="preserve">Smanjiti zagađenje zemlje, tla i prirode od odlaganja otpada </w:t>
            </w:r>
          </w:p>
          <w:p w:rsidR="000A6BD6" w:rsidRPr="00305A72" w:rsidRDefault="000A6BD6" w:rsidP="006A5FD2">
            <w:pPr>
              <w:rPr>
                <w:color w:val="000000" w:themeColor="text1"/>
                <w:sz w:val="16"/>
                <w:lang w:val="en-US"/>
              </w:rPr>
            </w:pPr>
          </w:p>
          <w:p w:rsidR="000A6BD6" w:rsidRPr="00305A72" w:rsidRDefault="000A6BD6" w:rsidP="006A5FD2">
            <w:pPr>
              <w:rPr>
                <w:color w:val="000000" w:themeColor="text1"/>
                <w:sz w:val="16"/>
                <w:lang w:val="en-US"/>
              </w:rPr>
            </w:pPr>
          </w:p>
          <w:p w:rsidR="006A5FD2" w:rsidRPr="00305A72" w:rsidRDefault="006A5FD2" w:rsidP="006A5FD2">
            <w:pPr>
              <w:rPr>
                <w:color w:val="000000" w:themeColor="text1"/>
                <w:sz w:val="16"/>
                <w:lang w:val="en-US"/>
              </w:rPr>
            </w:pPr>
          </w:p>
          <w:p w:rsidR="004603C8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Sigurnost na radu, spriječavanje zagađenja voda i prirode </w:t>
            </w:r>
          </w:p>
        </w:tc>
        <w:tc>
          <w:tcPr>
            <w:tcW w:w="1647" w:type="dxa"/>
            <w:vAlign w:val="center"/>
          </w:tcPr>
          <w:p w:rsidR="000A6BD6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Marginalni troškovi, obuhvaćeni u predmjeru radova </w:t>
            </w:r>
          </w:p>
          <w:p w:rsidR="000A6BD6" w:rsidRPr="00305A72" w:rsidRDefault="000A6BD6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4603C8" w:rsidRPr="00305A72" w:rsidRDefault="008357B4" w:rsidP="00717B6F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Podugovarač, </w:t>
            </w:r>
            <w:r w:rsidR="00717B6F">
              <w:rPr>
                <w:color w:val="000000" w:themeColor="text1"/>
                <w:sz w:val="16"/>
                <w:szCs w:val="16"/>
                <w:lang w:val="en-US"/>
              </w:rPr>
              <w:t>SB</w:t>
            </w:r>
          </w:p>
        </w:tc>
      </w:tr>
      <w:tr w:rsidR="004603C8" w:rsidRPr="00305A72" w:rsidTr="00F36EDC">
        <w:tc>
          <w:tcPr>
            <w:tcW w:w="1998" w:type="dxa"/>
            <w:vAlign w:val="center"/>
          </w:tcPr>
          <w:p w:rsidR="004603C8" w:rsidRPr="00305A72" w:rsidRDefault="008357B4" w:rsidP="008357B4">
            <w:pPr>
              <w:spacing w:before="120" w:after="120"/>
              <w:rPr>
                <w:color w:val="000000" w:themeColor="text1"/>
                <w:sz w:val="20"/>
                <w:szCs w:val="20"/>
                <w:lang w:val="en-US"/>
              </w:rPr>
            </w:pP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U toku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F3030" w:rsidRPr="00305A72"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305A72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nadzora </w:t>
            </w:r>
            <w:r w:rsidRPr="00305A72">
              <w:rPr>
                <w:color w:val="000000" w:themeColor="text1"/>
                <w:sz w:val="20"/>
                <w:szCs w:val="20"/>
                <w:lang w:val="en-US"/>
              </w:rPr>
              <w:t>aktivnosti</w:t>
            </w:r>
          </w:p>
        </w:tc>
        <w:tc>
          <w:tcPr>
            <w:tcW w:w="1800" w:type="dxa"/>
            <w:vAlign w:val="center"/>
          </w:tcPr>
          <w:p w:rsidR="004603C8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Čisto i uredno gradilište nakon adekvatnog zbrinjavanja otpada </w:t>
            </w:r>
          </w:p>
          <w:p w:rsidR="004603C8" w:rsidRPr="00305A72" w:rsidRDefault="004603C8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4603C8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Na lokaciji gradilišta i u blizini stambenih objekata </w:t>
            </w:r>
          </w:p>
          <w:p w:rsidR="00F30AA4" w:rsidRPr="00305A72" w:rsidRDefault="00F30AA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4603C8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Vizuelno i putem razgovora sa stanovništvom koje živi/radi u susjednim objektima</w:t>
            </w:r>
          </w:p>
        </w:tc>
        <w:tc>
          <w:tcPr>
            <w:tcW w:w="1647" w:type="dxa"/>
            <w:vAlign w:val="center"/>
          </w:tcPr>
          <w:p w:rsidR="004603C8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Nakon završetka radova a prije svih konačnih odobrenja za rad objekta</w:t>
            </w:r>
          </w:p>
        </w:tc>
        <w:tc>
          <w:tcPr>
            <w:tcW w:w="1647" w:type="dxa"/>
            <w:vAlign w:val="center"/>
          </w:tcPr>
          <w:p w:rsidR="00F36EDC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U cilju izbjegavanja štete po okoliš i prirodu</w:t>
            </w:r>
          </w:p>
          <w:p w:rsidR="00F36EDC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F36EDC" w:rsidRPr="00305A72" w:rsidRDefault="00F36EDC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>Sprečavanje uništavanja pejzaža, vegetacije, tla ili biodiverziteta</w:t>
            </w:r>
          </w:p>
          <w:p w:rsidR="004603C8" w:rsidRPr="00305A72" w:rsidRDefault="004603C8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vAlign w:val="center"/>
          </w:tcPr>
          <w:p w:rsidR="004603C8" w:rsidRPr="00305A72" w:rsidRDefault="008357B4" w:rsidP="00B82C38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Marginalni troškovi, obuhvaćeni u predmjeru radova</w:t>
            </w:r>
          </w:p>
        </w:tc>
        <w:tc>
          <w:tcPr>
            <w:tcW w:w="1647" w:type="dxa"/>
            <w:vAlign w:val="center"/>
          </w:tcPr>
          <w:p w:rsidR="004603C8" w:rsidRPr="00305A72" w:rsidRDefault="008357B4" w:rsidP="00717B6F">
            <w:pPr>
              <w:spacing w:before="120" w:after="120"/>
              <w:rPr>
                <w:color w:val="000000" w:themeColor="text1"/>
                <w:sz w:val="16"/>
                <w:szCs w:val="16"/>
                <w:lang w:val="en-US"/>
              </w:rPr>
            </w:pPr>
            <w:r w:rsidRPr="00305A72">
              <w:rPr>
                <w:color w:val="000000" w:themeColor="text1"/>
                <w:sz w:val="16"/>
                <w:szCs w:val="16"/>
                <w:lang w:val="en-US"/>
              </w:rPr>
              <w:t xml:space="preserve">Podugovarač, </w:t>
            </w:r>
            <w:r w:rsidR="00717B6F">
              <w:rPr>
                <w:color w:val="000000" w:themeColor="text1"/>
                <w:sz w:val="16"/>
                <w:szCs w:val="16"/>
                <w:lang w:val="en-US"/>
              </w:rPr>
              <w:t>SB</w:t>
            </w:r>
          </w:p>
        </w:tc>
      </w:tr>
    </w:tbl>
    <w:p w:rsidR="00277F8A" w:rsidRPr="00305A72" w:rsidRDefault="00277F8A" w:rsidP="00F36EDC">
      <w:pPr>
        <w:rPr>
          <w:color w:val="000000" w:themeColor="text1"/>
          <w:lang w:val="en-US"/>
        </w:rPr>
      </w:pPr>
    </w:p>
    <w:sectPr w:rsidR="00277F8A" w:rsidRPr="00305A72" w:rsidSect="007D6BBE"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44" w:rsidRDefault="00E77044">
      <w:r>
        <w:separator/>
      </w:r>
    </w:p>
  </w:endnote>
  <w:endnote w:type="continuationSeparator" w:id="0">
    <w:p w:rsidR="00E77044" w:rsidRDefault="00E7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44" w:rsidRDefault="00E77044">
      <w:r>
        <w:separator/>
      </w:r>
    </w:p>
  </w:footnote>
  <w:footnote w:type="continuationSeparator" w:id="0">
    <w:p w:rsidR="00E77044" w:rsidRDefault="00E77044">
      <w:r>
        <w:continuationSeparator/>
      </w:r>
    </w:p>
  </w:footnote>
  <w:footnote w:id="1">
    <w:p w:rsidR="00886C39" w:rsidRPr="00992820" w:rsidRDefault="00886C39" w:rsidP="00AD4161">
      <w:pPr>
        <w:pStyle w:val="FootnoteText"/>
      </w:pPr>
      <w:r w:rsidRPr="00992820">
        <w:rPr>
          <w:rStyle w:val="FootnoteReference"/>
        </w:rPr>
        <w:footnoteRef/>
      </w:r>
      <w:r w:rsidRPr="00992820">
        <w:t xml:space="preserve"> </w:t>
      </w:r>
      <w:r w:rsidR="0087139F">
        <w:t xml:space="preserve"> Nabavka zemljišta uključuje preseljenje stanovništva, promjene u njihovim životnim standardima koji su vezani uz korištenje privatnog vlasništva koje je predmet nabavke, ili bespravno korištenje zemljišta ili objekata koji podliježu eksproprijaciji.  </w:t>
      </w:r>
    </w:p>
  </w:footnote>
  <w:footnote w:id="2">
    <w:p w:rsidR="00886C39" w:rsidRPr="00992820" w:rsidRDefault="00886C39" w:rsidP="00AD4161">
      <w:pPr>
        <w:pStyle w:val="FootnoteText"/>
      </w:pPr>
      <w:r w:rsidRPr="00992820">
        <w:rPr>
          <w:rStyle w:val="FootnoteReference"/>
        </w:rPr>
        <w:footnoteRef/>
      </w:r>
      <w:r w:rsidRPr="00992820">
        <w:t xml:space="preserve">  </w:t>
      </w:r>
      <w:r w:rsidR="0087139F">
        <w:t xml:space="preserve">Toksični i opasni materijal uključuje azbest, toksične i otrovne boje, rastvarače, uklanjanje farbe koja sadrži olovo i slično.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EE8F48"/>
    <w:lvl w:ilvl="0">
      <w:numFmt w:val="decimal"/>
      <w:lvlText w:val="*"/>
      <w:lvlJc w:val="left"/>
    </w:lvl>
  </w:abstractNum>
  <w:abstractNum w:abstractNumId="1" w15:restartNumberingAfterBreak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630205"/>
    <w:multiLevelType w:val="hybridMultilevel"/>
    <w:tmpl w:val="75B41B9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A158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5C484C"/>
    <w:multiLevelType w:val="hybridMultilevel"/>
    <w:tmpl w:val="EC2857AE"/>
    <w:lvl w:ilvl="0" w:tplc="4AECD0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642C0"/>
    <w:multiLevelType w:val="hybridMultilevel"/>
    <w:tmpl w:val="FF90E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4100D5"/>
    <w:multiLevelType w:val="hybridMultilevel"/>
    <w:tmpl w:val="BF325D84"/>
    <w:lvl w:ilvl="0" w:tplc="A0402A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276AFA"/>
    <w:multiLevelType w:val="singleLevel"/>
    <w:tmpl w:val="255211D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70494F"/>
    <w:multiLevelType w:val="hybridMultilevel"/>
    <w:tmpl w:val="380EC2E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C61CB1"/>
    <w:multiLevelType w:val="hybridMultilevel"/>
    <w:tmpl w:val="C380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77673"/>
    <w:multiLevelType w:val="hybridMultilevel"/>
    <w:tmpl w:val="6B78464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9212E5E"/>
    <w:multiLevelType w:val="hybridMultilevel"/>
    <w:tmpl w:val="02B655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9B5753"/>
    <w:multiLevelType w:val="hybridMultilevel"/>
    <w:tmpl w:val="CBB465BE"/>
    <w:lvl w:ilvl="0" w:tplc="3620C75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B6DB3"/>
    <w:multiLevelType w:val="hybridMultilevel"/>
    <w:tmpl w:val="7380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375EC"/>
    <w:multiLevelType w:val="hybridMultilevel"/>
    <w:tmpl w:val="6340EBF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2F7763"/>
    <w:multiLevelType w:val="hybridMultilevel"/>
    <w:tmpl w:val="4B66E9F2"/>
    <w:lvl w:ilvl="0" w:tplc="E9D0915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9377A5"/>
    <w:multiLevelType w:val="hybridMultilevel"/>
    <w:tmpl w:val="92A2C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B6FE3"/>
    <w:multiLevelType w:val="hybridMultilevel"/>
    <w:tmpl w:val="47EECA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68762F"/>
    <w:multiLevelType w:val="hybridMultilevel"/>
    <w:tmpl w:val="7DFCAED8"/>
    <w:lvl w:ilvl="0" w:tplc="3620C75C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2CB4D3A"/>
    <w:multiLevelType w:val="hybridMultilevel"/>
    <w:tmpl w:val="D602AF1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61E4F"/>
    <w:multiLevelType w:val="hybridMultilevel"/>
    <w:tmpl w:val="24983CF0"/>
    <w:lvl w:ilvl="0" w:tplc="4B92946C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2FECB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236C1"/>
    <w:multiLevelType w:val="hybridMultilevel"/>
    <w:tmpl w:val="9ADEE5D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71547B"/>
    <w:multiLevelType w:val="hybridMultilevel"/>
    <w:tmpl w:val="705AC67E"/>
    <w:lvl w:ilvl="0" w:tplc="08C26E26">
      <w:numFmt w:val="bullet"/>
      <w:pStyle w:val="Outline1"/>
      <w:lvlText w:val="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B2D23"/>
    <w:multiLevelType w:val="hybridMultilevel"/>
    <w:tmpl w:val="C4603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10"/>
  </w:num>
  <w:num w:numId="5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24"/>
  </w:num>
  <w:num w:numId="10">
    <w:abstractNumId w:val="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2">
    <w:abstractNumId w:val="9"/>
  </w:num>
  <w:num w:numId="13">
    <w:abstractNumId w:val="8"/>
  </w:num>
  <w:num w:numId="14">
    <w:abstractNumId w:val="20"/>
  </w:num>
  <w:num w:numId="15">
    <w:abstractNumId w:val="13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9"/>
  </w:num>
  <w:num w:numId="22">
    <w:abstractNumId w:val="26"/>
  </w:num>
  <w:num w:numId="23">
    <w:abstractNumId w:val="28"/>
  </w:num>
  <w:num w:numId="24">
    <w:abstractNumId w:val="3"/>
  </w:num>
  <w:num w:numId="25">
    <w:abstractNumId w:val="18"/>
  </w:num>
  <w:num w:numId="26">
    <w:abstractNumId w:val="22"/>
  </w:num>
  <w:num w:numId="27">
    <w:abstractNumId w:val="30"/>
  </w:num>
  <w:num w:numId="28">
    <w:abstractNumId w:val="5"/>
  </w:num>
  <w:num w:numId="29">
    <w:abstractNumId w:val="14"/>
  </w:num>
  <w:num w:numId="30">
    <w:abstractNumId w:val="23"/>
  </w:num>
  <w:num w:numId="31">
    <w:abstractNumId w:val="17"/>
  </w:num>
  <w:num w:numId="32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E"/>
    <w:rsid w:val="00000A45"/>
    <w:rsid w:val="00015B00"/>
    <w:rsid w:val="00034D6E"/>
    <w:rsid w:val="00040D71"/>
    <w:rsid w:val="000515B4"/>
    <w:rsid w:val="00052D4F"/>
    <w:rsid w:val="00060DC2"/>
    <w:rsid w:val="00067631"/>
    <w:rsid w:val="000765A7"/>
    <w:rsid w:val="0007676B"/>
    <w:rsid w:val="00096461"/>
    <w:rsid w:val="00096DD4"/>
    <w:rsid w:val="000A003F"/>
    <w:rsid w:val="000A2B9E"/>
    <w:rsid w:val="000A2FA1"/>
    <w:rsid w:val="000A6BD6"/>
    <w:rsid w:val="000B3257"/>
    <w:rsid w:val="000D0264"/>
    <w:rsid w:val="000D3C39"/>
    <w:rsid w:val="000D5D0F"/>
    <w:rsid w:val="000F5D53"/>
    <w:rsid w:val="00113A04"/>
    <w:rsid w:val="00115243"/>
    <w:rsid w:val="00122EE8"/>
    <w:rsid w:val="0013279F"/>
    <w:rsid w:val="00137D85"/>
    <w:rsid w:val="0014464B"/>
    <w:rsid w:val="00152FD6"/>
    <w:rsid w:val="00163D91"/>
    <w:rsid w:val="00184E6D"/>
    <w:rsid w:val="001966A1"/>
    <w:rsid w:val="001A1E04"/>
    <w:rsid w:val="001A59D4"/>
    <w:rsid w:val="001B2254"/>
    <w:rsid w:val="001C1F7E"/>
    <w:rsid w:val="001C3AFB"/>
    <w:rsid w:val="001E6E99"/>
    <w:rsid w:val="001F05B8"/>
    <w:rsid w:val="001F77DB"/>
    <w:rsid w:val="00200846"/>
    <w:rsid w:val="00202AE6"/>
    <w:rsid w:val="0020649D"/>
    <w:rsid w:val="00210957"/>
    <w:rsid w:val="0021376B"/>
    <w:rsid w:val="00234038"/>
    <w:rsid w:val="00242676"/>
    <w:rsid w:val="00251B81"/>
    <w:rsid w:val="00265300"/>
    <w:rsid w:val="00267A9F"/>
    <w:rsid w:val="00273E11"/>
    <w:rsid w:val="00275240"/>
    <w:rsid w:val="00277F8A"/>
    <w:rsid w:val="00285974"/>
    <w:rsid w:val="00293511"/>
    <w:rsid w:val="0029767B"/>
    <w:rsid w:val="002A0C3C"/>
    <w:rsid w:val="002A282A"/>
    <w:rsid w:val="002A7A16"/>
    <w:rsid w:val="002C69AE"/>
    <w:rsid w:val="002D2FED"/>
    <w:rsid w:val="002D347A"/>
    <w:rsid w:val="002D79EA"/>
    <w:rsid w:val="002F0ADF"/>
    <w:rsid w:val="002F1C68"/>
    <w:rsid w:val="002F7AD4"/>
    <w:rsid w:val="00305A72"/>
    <w:rsid w:val="003065F8"/>
    <w:rsid w:val="00324164"/>
    <w:rsid w:val="0034658B"/>
    <w:rsid w:val="00352EAC"/>
    <w:rsid w:val="00372832"/>
    <w:rsid w:val="003745B8"/>
    <w:rsid w:val="003855C6"/>
    <w:rsid w:val="0039405C"/>
    <w:rsid w:val="003B04DD"/>
    <w:rsid w:val="003B263A"/>
    <w:rsid w:val="003C00F4"/>
    <w:rsid w:val="003C0CDF"/>
    <w:rsid w:val="003C15CE"/>
    <w:rsid w:val="003D3C21"/>
    <w:rsid w:val="003E40C8"/>
    <w:rsid w:val="003F1A04"/>
    <w:rsid w:val="003F5523"/>
    <w:rsid w:val="00402C83"/>
    <w:rsid w:val="00403E2C"/>
    <w:rsid w:val="00414635"/>
    <w:rsid w:val="004276AD"/>
    <w:rsid w:val="004466F1"/>
    <w:rsid w:val="00455CE7"/>
    <w:rsid w:val="004603C8"/>
    <w:rsid w:val="00466A23"/>
    <w:rsid w:val="004A3D64"/>
    <w:rsid w:val="004B0215"/>
    <w:rsid w:val="004C3000"/>
    <w:rsid w:val="004C6B28"/>
    <w:rsid w:val="004D26DC"/>
    <w:rsid w:val="004D6449"/>
    <w:rsid w:val="004E5D6B"/>
    <w:rsid w:val="004F065A"/>
    <w:rsid w:val="004F5B89"/>
    <w:rsid w:val="00520BAB"/>
    <w:rsid w:val="00537859"/>
    <w:rsid w:val="005415EC"/>
    <w:rsid w:val="005421DE"/>
    <w:rsid w:val="00542821"/>
    <w:rsid w:val="00542BCD"/>
    <w:rsid w:val="00545296"/>
    <w:rsid w:val="00563AA8"/>
    <w:rsid w:val="00573D71"/>
    <w:rsid w:val="00575371"/>
    <w:rsid w:val="00585575"/>
    <w:rsid w:val="005902B8"/>
    <w:rsid w:val="00595B75"/>
    <w:rsid w:val="005B2E14"/>
    <w:rsid w:val="005B5924"/>
    <w:rsid w:val="005C0DF3"/>
    <w:rsid w:val="005D2599"/>
    <w:rsid w:val="005D4B9C"/>
    <w:rsid w:val="005F0284"/>
    <w:rsid w:val="005F71E6"/>
    <w:rsid w:val="00627D39"/>
    <w:rsid w:val="00630F27"/>
    <w:rsid w:val="006370D9"/>
    <w:rsid w:val="00644B2D"/>
    <w:rsid w:val="00651F98"/>
    <w:rsid w:val="006604B8"/>
    <w:rsid w:val="00673190"/>
    <w:rsid w:val="00676AA5"/>
    <w:rsid w:val="00684B7C"/>
    <w:rsid w:val="0068548C"/>
    <w:rsid w:val="00691532"/>
    <w:rsid w:val="006A4168"/>
    <w:rsid w:val="006A5FD2"/>
    <w:rsid w:val="006B46FA"/>
    <w:rsid w:val="006B5BAD"/>
    <w:rsid w:val="006B7F13"/>
    <w:rsid w:val="006C40FA"/>
    <w:rsid w:val="006E5914"/>
    <w:rsid w:val="006F1323"/>
    <w:rsid w:val="00702DAB"/>
    <w:rsid w:val="007053BF"/>
    <w:rsid w:val="00717B6F"/>
    <w:rsid w:val="00721719"/>
    <w:rsid w:val="007326C0"/>
    <w:rsid w:val="00753F6E"/>
    <w:rsid w:val="00762086"/>
    <w:rsid w:val="00765BC0"/>
    <w:rsid w:val="00771215"/>
    <w:rsid w:val="00772D1E"/>
    <w:rsid w:val="0077742D"/>
    <w:rsid w:val="00782BD1"/>
    <w:rsid w:val="00791A56"/>
    <w:rsid w:val="007940DB"/>
    <w:rsid w:val="007A7D89"/>
    <w:rsid w:val="007C12D8"/>
    <w:rsid w:val="007C6D76"/>
    <w:rsid w:val="007D6BBE"/>
    <w:rsid w:val="00801650"/>
    <w:rsid w:val="008135A6"/>
    <w:rsid w:val="0082518A"/>
    <w:rsid w:val="00827845"/>
    <w:rsid w:val="00832826"/>
    <w:rsid w:val="00834BFB"/>
    <w:rsid w:val="008357B4"/>
    <w:rsid w:val="00846A89"/>
    <w:rsid w:val="00846C93"/>
    <w:rsid w:val="00865374"/>
    <w:rsid w:val="0087139F"/>
    <w:rsid w:val="00872030"/>
    <w:rsid w:val="00875262"/>
    <w:rsid w:val="00875D99"/>
    <w:rsid w:val="008840A4"/>
    <w:rsid w:val="00886C39"/>
    <w:rsid w:val="00893D8E"/>
    <w:rsid w:val="008A1125"/>
    <w:rsid w:val="008B7316"/>
    <w:rsid w:val="008C2897"/>
    <w:rsid w:val="008D0681"/>
    <w:rsid w:val="008D1CC6"/>
    <w:rsid w:val="008D7E77"/>
    <w:rsid w:val="008F42F3"/>
    <w:rsid w:val="008F5379"/>
    <w:rsid w:val="00905977"/>
    <w:rsid w:val="0091718C"/>
    <w:rsid w:val="00935638"/>
    <w:rsid w:val="0094348E"/>
    <w:rsid w:val="00981441"/>
    <w:rsid w:val="00983800"/>
    <w:rsid w:val="00985EFC"/>
    <w:rsid w:val="009867A5"/>
    <w:rsid w:val="00987F96"/>
    <w:rsid w:val="00987FDA"/>
    <w:rsid w:val="00994B02"/>
    <w:rsid w:val="00995626"/>
    <w:rsid w:val="009962D4"/>
    <w:rsid w:val="00996470"/>
    <w:rsid w:val="009A0FA7"/>
    <w:rsid w:val="009C307C"/>
    <w:rsid w:val="009C58D9"/>
    <w:rsid w:val="009D1F8D"/>
    <w:rsid w:val="009D5E4D"/>
    <w:rsid w:val="009E779B"/>
    <w:rsid w:val="00A005F5"/>
    <w:rsid w:val="00A07F4F"/>
    <w:rsid w:val="00A11D03"/>
    <w:rsid w:val="00A14666"/>
    <w:rsid w:val="00A15CA9"/>
    <w:rsid w:val="00A203EC"/>
    <w:rsid w:val="00A2125C"/>
    <w:rsid w:val="00A3065D"/>
    <w:rsid w:val="00A57956"/>
    <w:rsid w:val="00A60617"/>
    <w:rsid w:val="00A64AF5"/>
    <w:rsid w:val="00A700A8"/>
    <w:rsid w:val="00A741FB"/>
    <w:rsid w:val="00A84F9C"/>
    <w:rsid w:val="00A95790"/>
    <w:rsid w:val="00AB1C0D"/>
    <w:rsid w:val="00AB3E85"/>
    <w:rsid w:val="00AD1E2C"/>
    <w:rsid w:val="00AD4161"/>
    <w:rsid w:val="00AF3030"/>
    <w:rsid w:val="00B00B5B"/>
    <w:rsid w:val="00B05C37"/>
    <w:rsid w:val="00B05E8C"/>
    <w:rsid w:val="00B34DF7"/>
    <w:rsid w:val="00B42674"/>
    <w:rsid w:val="00B42842"/>
    <w:rsid w:val="00B43945"/>
    <w:rsid w:val="00B46C1D"/>
    <w:rsid w:val="00B52CCE"/>
    <w:rsid w:val="00B52E9C"/>
    <w:rsid w:val="00B57A63"/>
    <w:rsid w:val="00B676DF"/>
    <w:rsid w:val="00B82C38"/>
    <w:rsid w:val="00BB3142"/>
    <w:rsid w:val="00BB6BF9"/>
    <w:rsid w:val="00BB787D"/>
    <w:rsid w:val="00BB7F30"/>
    <w:rsid w:val="00BC3E6C"/>
    <w:rsid w:val="00BD07A3"/>
    <w:rsid w:val="00BD5BC4"/>
    <w:rsid w:val="00BD7238"/>
    <w:rsid w:val="00BE4790"/>
    <w:rsid w:val="00BF3E4C"/>
    <w:rsid w:val="00BF4444"/>
    <w:rsid w:val="00C15417"/>
    <w:rsid w:val="00C419C1"/>
    <w:rsid w:val="00C54C1D"/>
    <w:rsid w:val="00C55A94"/>
    <w:rsid w:val="00C75828"/>
    <w:rsid w:val="00C75E86"/>
    <w:rsid w:val="00C7642A"/>
    <w:rsid w:val="00C9420E"/>
    <w:rsid w:val="00C951C5"/>
    <w:rsid w:val="00CA4512"/>
    <w:rsid w:val="00CC65E9"/>
    <w:rsid w:val="00CD1E8E"/>
    <w:rsid w:val="00CD4C08"/>
    <w:rsid w:val="00CF602F"/>
    <w:rsid w:val="00D06955"/>
    <w:rsid w:val="00D21894"/>
    <w:rsid w:val="00D57B15"/>
    <w:rsid w:val="00D608F1"/>
    <w:rsid w:val="00D74E42"/>
    <w:rsid w:val="00D75B86"/>
    <w:rsid w:val="00D976C9"/>
    <w:rsid w:val="00DA12E4"/>
    <w:rsid w:val="00DC3728"/>
    <w:rsid w:val="00DC3CCC"/>
    <w:rsid w:val="00DC49EA"/>
    <w:rsid w:val="00DC4E37"/>
    <w:rsid w:val="00DD7EFC"/>
    <w:rsid w:val="00E07EAA"/>
    <w:rsid w:val="00E124D7"/>
    <w:rsid w:val="00E130A5"/>
    <w:rsid w:val="00E17B12"/>
    <w:rsid w:val="00E22908"/>
    <w:rsid w:val="00E31F77"/>
    <w:rsid w:val="00E339C2"/>
    <w:rsid w:val="00E41DF7"/>
    <w:rsid w:val="00E5327A"/>
    <w:rsid w:val="00E5694B"/>
    <w:rsid w:val="00E6730F"/>
    <w:rsid w:val="00E67BCE"/>
    <w:rsid w:val="00E77044"/>
    <w:rsid w:val="00E77DE4"/>
    <w:rsid w:val="00E85533"/>
    <w:rsid w:val="00E85E0D"/>
    <w:rsid w:val="00E9570C"/>
    <w:rsid w:val="00E96E24"/>
    <w:rsid w:val="00EA780E"/>
    <w:rsid w:val="00EB1BC5"/>
    <w:rsid w:val="00EC0845"/>
    <w:rsid w:val="00EC2053"/>
    <w:rsid w:val="00EE2C34"/>
    <w:rsid w:val="00EF03D8"/>
    <w:rsid w:val="00EF692A"/>
    <w:rsid w:val="00F15E29"/>
    <w:rsid w:val="00F30AA4"/>
    <w:rsid w:val="00F3193D"/>
    <w:rsid w:val="00F36EDC"/>
    <w:rsid w:val="00F508E9"/>
    <w:rsid w:val="00F617EE"/>
    <w:rsid w:val="00F63E5C"/>
    <w:rsid w:val="00F65AAC"/>
    <w:rsid w:val="00F66FC0"/>
    <w:rsid w:val="00F93C3F"/>
    <w:rsid w:val="00FB0E9B"/>
    <w:rsid w:val="00FB3704"/>
    <w:rsid w:val="00FB3B7B"/>
    <w:rsid w:val="00FC2487"/>
    <w:rsid w:val="00FD218E"/>
    <w:rsid w:val="00FD4150"/>
    <w:rsid w:val="00FD6C3C"/>
    <w:rsid w:val="00FE5B96"/>
    <w:rsid w:val="00FE6BE9"/>
    <w:rsid w:val="00FF2693"/>
    <w:rsid w:val="00FF60F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31F331-D84E-413E-85B3-47641B80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8E"/>
    <w:rPr>
      <w:sz w:val="24"/>
      <w:szCs w:val="24"/>
      <w:lang w:val="it-IT"/>
    </w:rPr>
  </w:style>
  <w:style w:type="paragraph" w:styleId="Heading1">
    <w:name w:val="heading 1"/>
    <w:basedOn w:val="Normal"/>
    <w:next w:val="Normal"/>
    <w:qFormat/>
    <w:rsid w:val="00CD1E8E"/>
    <w:pPr>
      <w:keepNext/>
      <w:jc w:val="center"/>
      <w:outlineLvl w:val="0"/>
    </w:pPr>
    <w:rPr>
      <w:rFonts w:ascii="Century Schoolbook" w:hAnsi="Century Schoolbook"/>
      <w:b/>
      <w:bCs/>
      <w:sz w:val="28"/>
    </w:rPr>
  </w:style>
  <w:style w:type="paragraph" w:styleId="Heading2">
    <w:name w:val="heading 2"/>
    <w:basedOn w:val="Normal"/>
    <w:next w:val="Normal"/>
    <w:qFormat/>
    <w:rsid w:val="00CD1E8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D1E8E"/>
    <w:pPr>
      <w:keepNext/>
      <w:outlineLvl w:val="2"/>
    </w:pPr>
    <w:rPr>
      <w:b/>
      <w:bCs/>
      <w:lang w:val="en-GB" w:eastAsia="zh-MO"/>
    </w:rPr>
  </w:style>
  <w:style w:type="paragraph" w:styleId="Heading4">
    <w:name w:val="heading 4"/>
    <w:basedOn w:val="Normal"/>
    <w:next w:val="Normal"/>
    <w:qFormat/>
    <w:rsid w:val="00CD1E8E"/>
    <w:pPr>
      <w:keepNext/>
      <w:ind w:left="108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D1E8E"/>
    <w:pPr>
      <w:keepNext/>
      <w:framePr w:hSpace="180" w:wrap="around" w:vAnchor="page" w:hAnchor="margin" w:xAlign="center" w:y="12241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D1E8E"/>
    <w:pPr>
      <w:keepNext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rsid w:val="00CD1E8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1E8E"/>
    <w:pPr>
      <w:jc w:val="both"/>
    </w:pPr>
    <w:rPr>
      <w:lang w:val="en-GB" w:eastAsia="zh-MO"/>
    </w:rPr>
  </w:style>
  <w:style w:type="paragraph" w:styleId="Header">
    <w:name w:val="header"/>
    <w:basedOn w:val="Normal"/>
    <w:rsid w:val="00CD1E8E"/>
    <w:pPr>
      <w:tabs>
        <w:tab w:val="center" w:pos="4320"/>
        <w:tab w:val="right" w:pos="8640"/>
      </w:tabs>
    </w:pPr>
    <w:rPr>
      <w:lang w:val="de-DE" w:eastAsia="zh-MO"/>
    </w:rPr>
  </w:style>
  <w:style w:type="paragraph" w:styleId="BodyTextIndent">
    <w:name w:val="Body Text Indent"/>
    <w:basedOn w:val="Normal"/>
    <w:rsid w:val="00CD1E8E"/>
    <w:pPr>
      <w:ind w:left="1080"/>
    </w:pPr>
  </w:style>
  <w:style w:type="paragraph" w:styleId="Footer">
    <w:name w:val="footer"/>
    <w:basedOn w:val="Normal"/>
    <w:rsid w:val="00CD1E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1E8E"/>
    <w:pPr>
      <w:jc w:val="center"/>
    </w:pPr>
    <w:rPr>
      <w:b/>
      <w:bCs/>
    </w:rPr>
  </w:style>
  <w:style w:type="character" w:styleId="PageNumber">
    <w:name w:val="page number"/>
    <w:basedOn w:val="DefaultParagraphFont"/>
    <w:rsid w:val="00CD1E8E"/>
  </w:style>
  <w:style w:type="paragraph" w:styleId="BodyTextIndent2">
    <w:name w:val="Body Text Indent 2"/>
    <w:basedOn w:val="Normal"/>
    <w:rsid w:val="00CD1E8E"/>
    <w:pPr>
      <w:widowControl w:val="0"/>
      <w:autoSpaceDE w:val="0"/>
      <w:autoSpaceDN w:val="0"/>
      <w:adjustRightInd w:val="0"/>
      <w:spacing w:line="283" w:lineRule="atLeast"/>
      <w:ind w:left="720"/>
      <w:jc w:val="both"/>
    </w:pPr>
  </w:style>
  <w:style w:type="paragraph" w:styleId="BodyText2">
    <w:name w:val="Body Text 2"/>
    <w:basedOn w:val="Normal"/>
    <w:rsid w:val="00CD1E8E"/>
    <w:pPr>
      <w:jc w:val="center"/>
    </w:pPr>
    <w:rPr>
      <w:sz w:val="20"/>
    </w:rPr>
  </w:style>
  <w:style w:type="paragraph" w:styleId="BodyText3">
    <w:name w:val="Body Text 3"/>
    <w:basedOn w:val="Normal"/>
    <w:rsid w:val="00CD1E8E"/>
    <w:pPr>
      <w:jc w:val="both"/>
    </w:pPr>
    <w:rPr>
      <w:color w:val="FF0000"/>
      <w:lang w:val="en-GB"/>
    </w:rPr>
  </w:style>
  <w:style w:type="paragraph" w:styleId="FootnoteText">
    <w:name w:val="footnote text"/>
    <w:aliases w:val="single space,footnote text,FOOTNOTES,fn"/>
    <w:basedOn w:val="Normal"/>
    <w:semiHidden/>
    <w:rsid w:val="00CD1E8E"/>
    <w:rPr>
      <w:sz w:val="20"/>
      <w:szCs w:val="20"/>
    </w:rPr>
  </w:style>
  <w:style w:type="paragraph" w:styleId="Subtitle">
    <w:name w:val="Subtitle"/>
    <w:basedOn w:val="Normal"/>
    <w:qFormat/>
    <w:rsid w:val="00CD1E8E"/>
    <w:rPr>
      <w:b/>
      <w:sz w:val="22"/>
      <w:szCs w:val="20"/>
      <w:lang w:val="fr-FR"/>
    </w:rPr>
  </w:style>
  <w:style w:type="paragraph" w:styleId="BalloonText">
    <w:name w:val="Balloon Text"/>
    <w:basedOn w:val="Normal"/>
    <w:rsid w:val="00CD1E8E"/>
    <w:rPr>
      <w:rFonts w:ascii="Tahoma" w:hAnsi="Tahoma"/>
      <w:sz w:val="16"/>
      <w:szCs w:val="20"/>
      <w:lang w:val="en-GB"/>
    </w:rPr>
  </w:style>
  <w:style w:type="paragraph" w:customStyle="1" w:styleId="Outline">
    <w:name w:val="Outline"/>
    <w:basedOn w:val="Normal"/>
    <w:rsid w:val="00CD1E8E"/>
    <w:pPr>
      <w:spacing w:before="240"/>
    </w:pPr>
    <w:rPr>
      <w:kern w:val="28"/>
      <w:szCs w:val="20"/>
    </w:rPr>
  </w:style>
  <w:style w:type="paragraph" w:customStyle="1" w:styleId="Outline1">
    <w:name w:val="Outline1"/>
    <w:basedOn w:val="Outline"/>
    <w:next w:val="Outline2"/>
    <w:rsid w:val="00CD1E8E"/>
    <w:pPr>
      <w:keepNext/>
      <w:numPr>
        <w:numId w:val="1"/>
      </w:numPr>
      <w:tabs>
        <w:tab w:val="num" w:pos="360"/>
      </w:tabs>
      <w:ind w:left="360"/>
    </w:pPr>
  </w:style>
  <w:style w:type="paragraph" w:customStyle="1" w:styleId="Outline2">
    <w:name w:val="Outline2"/>
    <w:basedOn w:val="Normal"/>
    <w:rsid w:val="00CD1E8E"/>
    <w:pPr>
      <w:spacing w:before="240"/>
    </w:pPr>
    <w:rPr>
      <w:kern w:val="28"/>
      <w:szCs w:val="20"/>
    </w:rPr>
  </w:style>
  <w:style w:type="paragraph" w:styleId="Index1">
    <w:name w:val="index 1"/>
    <w:basedOn w:val="Normal"/>
    <w:next w:val="Normal"/>
    <w:autoRedefine/>
    <w:semiHidden/>
    <w:rsid w:val="00CD1E8E"/>
    <w:pPr>
      <w:ind w:left="240" w:hanging="240"/>
    </w:pPr>
  </w:style>
  <w:style w:type="paragraph" w:customStyle="1" w:styleId="HeadingsFont">
    <w:name w:val="Headings Font"/>
    <w:basedOn w:val="Normal"/>
    <w:next w:val="BodyText"/>
    <w:rsid w:val="00CD1E8E"/>
    <w:pPr>
      <w:keepNext/>
      <w:widowControl w:val="0"/>
      <w:spacing w:line="280" w:lineRule="atLeast"/>
    </w:pPr>
    <w:rPr>
      <w:rFonts w:ascii="Arial" w:hAnsi="Arial"/>
      <w:sz w:val="22"/>
      <w:szCs w:val="20"/>
      <w:lang w:val="en-GB"/>
    </w:rPr>
  </w:style>
  <w:style w:type="paragraph" w:customStyle="1" w:styleId="Heading">
    <w:name w:val="Heading"/>
    <w:basedOn w:val="Normal"/>
    <w:rsid w:val="00CD1E8E"/>
    <w:pPr>
      <w:jc w:val="center"/>
    </w:pPr>
    <w:rPr>
      <w:b/>
      <w:bCs/>
      <w:caps/>
      <w:sz w:val="28"/>
      <w:lang w:val="en-US"/>
    </w:rPr>
  </w:style>
  <w:style w:type="character" w:styleId="FootnoteReference">
    <w:name w:val="footnote reference"/>
    <w:basedOn w:val="DefaultParagraphFont"/>
    <w:semiHidden/>
    <w:rsid w:val="00AD4161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651F98"/>
    <w:pPr>
      <w:tabs>
        <w:tab w:val="left" w:pos="660"/>
        <w:tab w:val="right" w:leader="dot" w:pos="8647"/>
      </w:tabs>
      <w:jc w:val="both"/>
    </w:pPr>
    <w:rPr>
      <w:rFonts w:ascii="Arial" w:hAnsi="Arial"/>
      <w:bCs/>
      <w:sz w:val="20"/>
      <w:szCs w:val="20"/>
      <w:lang w:val="en-GB" w:eastAsia="en-GB"/>
    </w:rPr>
  </w:style>
  <w:style w:type="paragraph" w:styleId="ListParagraph">
    <w:name w:val="List Paragraph"/>
    <w:basedOn w:val="Normal"/>
    <w:qFormat/>
    <w:rsid w:val="00293511"/>
    <w:pPr>
      <w:ind w:left="720"/>
      <w:contextualSpacing/>
    </w:pPr>
    <w:rPr>
      <w:rFonts w:ascii="Arial" w:hAnsi="Arial"/>
      <w:lang w:val="sq-AL"/>
    </w:rPr>
  </w:style>
  <w:style w:type="character" w:styleId="CommentReference">
    <w:name w:val="annotation reference"/>
    <w:basedOn w:val="DefaultParagraphFont"/>
    <w:rsid w:val="00E85E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5E0D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E8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5E0D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Study-design of  Central Immovable Property Registration Office</vt:lpstr>
    </vt:vector>
  </TitlesOfParts>
  <Company>bashkia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Study-design of  Central Immovable Property Registration Office</dc:title>
  <dc:creator>Alma</dc:creator>
  <cp:lastModifiedBy>IGOR PALANDZIC</cp:lastModifiedBy>
  <cp:revision>2</cp:revision>
  <cp:lastPrinted>2010-02-05T07:25:00Z</cp:lastPrinted>
  <dcterms:created xsi:type="dcterms:W3CDTF">2016-05-30T14:50:00Z</dcterms:created>
  <dcterms:modified xsi:type="dcterms:W3CDTF">2016-05-30T14:50:00Z</dcterms:modified>
</cp:coreProperties>
</file>